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1E1A2" w14:textId="6B4F7302" w:rsidR="004A65CF" w:rsidRPr="00C96DC7" w:rsidRDefault="00452A22" w:rsidP="00C441DA">
      <w:pPr>
        <w:jc w:val="center"/>
        <w:rPr>
          <w:b/>
          <w:szCs w:val="24"/>
        </w:rPr>
      </w:pPr>
      <w:r w:rsidRPr="00C96DC7">
        <w:rPr>
          <w:b/>
          <w:caps/>
          <w:szCs w:val="24"/>
        </w:rPr>
        <w:t xml:space="preserve">PASTABŲ IR PASIŪLYMŲ, PATEIKTŲ </w:t>
      </w:r>
      <w:r w:rsidR="008E4B9C">
        <w:rPr>
          <w:b/>
          <w:caps/>
          <w:szCs w:val="24"/>
        </w:rPr>
        <w:t>202</w:t>
      </w:r>
      <w:r w:rsidR="00E03CCC">
        <w:rPr>
          <w:b/>
          <w:caps/>
          <w:szCs w:val="24"/>
        </w:rPr>
        <w:t>4</w:t>
      </w:r>
      <w:r w:rsidR="008E4B9C">
        <w:rPr>
          <w:b/>
          <w:caps/>
          <w:szCs w:val="24"/>
        </w:rPr>
        <w:t xml:space="preserve"> m.</w:t>
      </w:r>
      <w:r w:rsidR="008179F7">
        <w:rPr>
          <w:b/>
          <w:caps/>
          <w:szCs w:val="24"/>
        </w:rPr>
        <w:t xml:space="preserve"> rugsėjo </w:t>
      </w:r>
      <w:r w:rsidR="00133B54">
        <w:rPr>
          <w:b/>
          <w:caps/>
          <w:szCs w:val="24"/>
        </w:rPr>
        <w:t>26 d.</w:t>
      </w:r>
      <w:r w:rsidR="008E4B9C">
        <w:rPr>
          <w:b/>
          <w:caps/>
          <w:szCs w:val="24"/>
        </w:rPr>
        <w:t xml:space="preserve"> </w:t>
      </w:r>
      <w:r w:rsidRPr="00C96DC7">
        <w:rPr>
          <w:b/>
          <w:caps/>
          <w:szCs w:val="24"/>
        </w:rPr>
        <w:t xml:space="preserve">VIEŠAJAI KONSULTACIJAI DĖL </w:t>
      </w:r>
      <w:r w:rsidR="00763BC9" w:rsidRPr="00C96DC7">
        <w:rPr>
          <w:b/>
          <w:caps/>
          <w:szCs w:val="24"/>
        </w:rPr>
        <w:t xml:space="preserve">Naudojimosi AB „Amber Grid“ gamtinių dujų perdavimo sistema taisyklių </w:t>
      </w:r>
      <w:r w:rsidRPr="00C96DC7">
        <w:rPr>
          <w:b/>
          <w:caps/>
          <w:szCs w:val="24"/>
        </w:rPr>
        <w:t>PROJEKT</w:t>
      </w:r>
      <w:r w:rsidR="00023630">
        <w:rPr>
          <w:b/>
          <w:caps/>
          <w:szCs w:val="24"/>
        </w:rPr>
        <w:t>o</w:t>
      </w:r>
      <w:r w:rsidRPr="00C96DC7">
        <w:rPr>
          <w:b/>
          <w:caps/>
          <w:szCs w:val="24"/>
        </w:rPr>
        <w:t xml:space="preserve"> </w:t>
      </w:r>
      <w:r w:rsidR="00102BB6" w:rsidRPr="00C96DC7">
        <w:rPr>
          <w:b/>
          <w:szCs w:val="24"/>
        </w:rPr>
        <w:t>DERINIMO PAŽYMA</w:t>
      </w:r>
    </w:p>
    <w:p w14:paraId="7BF9F8F6" w14:textId="77777777" w:rsidR="00D15393" w:rsidRPr="00C96DC7" w:rsidRDefault="00D15393" w:rsidP="00C441DA">
      <w:pPr>
        <w:jc w:val="center"/>
        <w:rPr>
          <w:b/>
          <w:szCs w:val="24"/>
        </w:rPr>
      </w:pPr>
    </w:p>
    <w:tbl>
      <w:tblPr>
        <w:tblW w:w="15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
        <w:gridCol w:w="7237"/>
        <w:gridCol w:w="20"/>
        <w:gridCol w:w="7226"/>
      </w:tblGrid>
      <w:tr w:rsidR="00CD239B" w:rsidRPr="00C96DC7" w14:paraId="3D1E7762" w14:textId="77777777" w:rsidTr="00846AD3">
        <w:tc>
          <w:tcPr>
            <w:tcW w:w="713" w:type="dxa"/>
          </w:tcPr>
          <w:p w14:paraId="3FD0F1F9" w14:textId="77777777" w:rsidR="00BB5E53" w:rsidRPr="00C96DC7" w:rsidRDefault="00B172CC" w:rsidP="00BB5E53">
            <w:pPr>
              <w:rPr>
                <w:b/>
                <w:szCs w:val="24"/>
              </w:rPr>
            </w:pPr>
            <w:r w:rsidRPr="00C96DC7">
              <w:rPr>
                <w:b/>
                <w:szCs w:val="24"/>
              </w:rPr>
              <w:t>Eil.</w:t>
            </w:r>
            <w:r w:rsidR="00BB5E53" w:rsidRPr="00C96DC7">
              <w:rPr>
                <w:b/>
                <w:szCs w:val="24"/>
              </w:rPr>
              <w:t xml:space="preserve"> </w:t>
            </w:r>
          </w:p>
          <w:p w14:paraId="4DDFB9FE" w14:textId="77777777" w:rsidR="00B172CC" w:rsidRPr="00C96DC7" w:rsidRDefault="00B172CC" w:rsidP="00BB5E53">
            <w:pPr>
              <w:rPr>
                <w:b/>
                <w:szCs w:val="24"/>
              </w:rPr>
            </w:pPr>
            <w:r w:rsidRPr="00C96DC7">
              <w:rPr>
                <w:b/>
                <w:szCs w:val="24"/>
              </w:rPr>
              <w:t>Nr.</w:t>
            </w:r>
          </w:p>
        </w:tc>
        <w:tc>
          <w:tcPr>
            <w:tcW w:w="7257" w:type="dxa"/>
            <w:gridSpan w:val="2"/>
          </w:tcPr>
          <w:p w14:paraId="1AEF2BA1" w14:textId="77777777" w:rsidR="00B172CC" w:rsidRPr="00C96DC7" w:rsidRDefault="00B172CC" w:rsidP="00EA20E7">
            <w:pPr>
              <w:jc w:val="center"/>
              <w:rPr>
                <w:b/>
                <w:szCs w:val="24"/>
              </w:rPr>
            </w:pPr>
            <w:r w:rsidRPr="00C96DC7">
              <w:rPr>
                <w:b/>
                <w:szCs w:val="24"/>
              </w:rPr>
              <w:t>Pastabos ir pasiūlymais</w:t>
            </w:r>
          </w:p>
        </w:tc>
        <w:tc>
          <w:tcPr>
            <w:tcW w:w="7226" w:type="dxa"/>
          </w:tcPr>
          <w:p w14:paraId="6469779C" w14:textId="77777777" w:rsidR="00B172CC" w:rsidRPr="00C96DC7" w:rsidRDefault="00AC0A3E" w:rsidP="00EA20E7">
            <w:pPr>
              <w:jc w:val="center"/>
              <w:rPr>
                <w:b/>
                <w:szCs w:val="24"/>
              </w:rPr>
            </w:pPr>
            <w:r w:rsidRPr="00C96DC7">
              <w:rPr>
                <w:b/>
                <w:szCs w:val="24"/>
              </w:rPr>
              <w:t>Pastabų / pasiūlymų vertinimas</w:t>
            </w:r>
          </w:p>
        </w:tc>
      </w:tr>
      <w:tr w:rsidR="00137B31" w:rsidRPr="00137B31" w14:paraId="270EFBE0" w14:textId="77777777" w:rsidTr="00846AD3">
        <w:tc>
          <w:tcPr>
            <w:tcW w:w="15196" w:type="dxa"/>
            <w:gridSpan w:val="4"/>
          </w:tcPr>
          <w:p w14:paraId="2500B43B" w14:textId="3306A9C6" w:rsidR="00137B31" w:rsidRPr="00C96DC7" w:rsidRDefault="00221262" w:rsidP="00137B31">
            <w:pPr>
              <w:numPr>
                <w:ilvl w:val="0"/>
                <w:numId w:val="3"/>
              </w:numPr>
              <w:rPr>
                <w:b/>
                <w:szCs w:val="24"/>
              </w:rPr>
            </w:pPr>
            <w:r w:rsidRPr="00221262">
              <w:rPr>
                <w:b/>
                <w:szCs w:val="24"/>
              </w:rPr>
              <w:t>UAB „Tube Green“</w:t>
            </w:r>
          </w:p>
        </w:tc>
      </w:tr>
      <w:tr w:rsidR="00137B31" w:rsidRPr="00C96DC7" w14:paraId="146EF8A8" w14:textId="77777777" w:rsidTr="00846AD3">
        <w:tc>
          <w:tcPr>
            <w:tcW w:w="713" w:type="dxa"/>
          </w:tcPr>
          <w:p w14:paraId="54BB213B" w14:textId="77777777" w:rsidR="00137B31" w:rsidRPr="00C96DC7" w:rsidRDefault="00137B31" w:rsidP="00137B31">
            <w:pPr>
              <w:numPr>
                <w:ilvl w:val="1"/>
                <w:numId w:val="3"/>
              </w:numPr>
              <w:tabs>
                <w:tab w:val="clear" w:pos="720"/>
                <w:tab w:val="left" w:pos="360"/>
              </w:tabs>
              <w:ind w:left="459" w:hanging="459"/>
              <w:jc w:val="left"/>
              <w:rPr>
                <w:b/>
                <w:szCs w:val="24"/>
              </w:rPr>
            </w:pPr>
          </w:p>
        </w:tc>
        <w:tc>
          <w:tcPr>
            <w:tcW w:w="7237" w:type="dxa"/>
          </w:tcPr>
          <w:p w14:paraId="2593D8D4" w14:textId="582C038D" w:rsidR="003C2A91" w:rsidRPr="003C2A91" w:rsidRDefault="003C2A91" w:rsidP="003C2A91">
            <w:pPr>
              <w:pStyle w:val="CommentText"/>
              <w:rPr>
                <w:sz w:val="24"/>
                <w:szCs w:val="24"/>
              </w:rPr>
            </w:pPr>
            <w:r w:rsidRPr="003C2A91">
              <w:rPr>
                <w:sz w:val="24"/>
                <w:szCs w:val="24"/>
              </w:rPr>
              <w:t>Taisyklių projekte yra pateikiamas naujas 172.2 punktas, kuris sako, kad: „Žaliųjų dujų įleidimo taškuose tiesiogiai prijungtuose prie perdavimo sistemos, kai žaliųjų dujų gamintojui yra suteikta</w:t>
            </w:r>
            <w:r w:rsidR="001E15ED">
              <w:rPr>
                <w:sz w:val="24"/>
                <w:szCs w:val="24"/>
              </w:rPr>
              <w:t xml:space="preserve"> </w:t>
            </w:r>
            <w:r w:rsidRPr="003C2A91">
              <w:rPr>
                <w:sz w:val="24"/>
                <w:szCs w:val="24"/>
              </w:rPr>
              <w:t xml:space="preserve">išimtis dėl deguonies ar vandenilio iš atsinaujinančių energijos išteklių koncentracijos dujų mišinyje, PSO turi teisę apriboti arba nutraukti dujų perdavimą, jei tai yra būtina siekiant išvengti gamtinių dujų perdavimo sistemos išleidimo taškuose pasiekiamos maksimaliai leistinos deguonies ar vandenilio iš atsinaujinančių energijos išteklių koncentracijos gamtinių dujų mišinyje.“. </w:t>
            </w:r>
          </w:p>
          <w:p w14:paraId="33F21163" w14:textId="77777777" w:rsidR="003C2A91" w:rsidRPr="003C2A91" w:rsidRDefault="003C2A91" w:rsidP="003C2A91">
            <w:pPr>
              <w:pStyle w:val="CommentText"/>
              <w:rPr>
                <w:sz w:val="24"/>
                <w:szCs w:val="24"/>
              </w:rPr>
            </w:pPr>
            <w:r w:rsidRPr="003C2A91">
              <w:rPr>
                <w:sz w:val="24"/>
                <w:szCs w:val="24"/>
              </w:rPr>
              <w:t>Įmonė nesutinka ir prieštarauja tokio punkto atsiradimui Taisyklėse, kadangi:</w:t>
            </w:r>
          </w:p>
          <w:p w14:paraId="3C18FBCE" w14:textId="4AD3B093" w:rsidR="003C2A91" w:rsidRPr="003C2A91" w:rsidRDefault="003C2A91" w:rsidP="003C2A91">
            <w:pPr>
              <w:pStyle w:val="CommentText"/>
              <w:rPr>
                <w:sz w:val="24"/>
                <w:szCs w:val="24"/>
              </w:rPr>
            </w:pPr>
            <w:r w:rsidRPr="003C2A91">
              <w:rPr>
                <w:sz w:val="24"/>
                <w:szCs w:val="24"/>
              </w:rPr>
              <w:t>- Amber Grid kiekvienu individualiu atveju įvertina dujų tiekėjo situaciją bei lokaciją, ir suteikia individualizuotą išimtį;</w:t>
            </w:r>
          </w:p>
          <w:p w14:paraId="2580E714" w14:textId="77777777" w:rsidR="003C2A91" w:rsidRPr="003C2A91" w:rsidRDefault="003C2A91" w:rsidP="003C2A91">
            <w:pPr>
              <w:pStyle w:val="CommentText"/>
              <w:rPr>
                <w:sz w:val="24"/>
                <w:szCs w:val="24"/>
              </w:rPr>
            </w:pPr>
            <w:r w:rsidRPr="003C2A91">
              <w:rPr>
                <w:sz w:val="24"/>
                <w:szCs w:val="24"/>
              </w:rPr>
              <w:t xml:space="preserve">- Įmonės tiekiamo </w:t>
            </w:r>
            <w:proofErr w:type="spellStart"/>
            <w:r w:rsidRPr="003C2A91">
              <w:rPr>
                <w:sz w:val="24"/>
                <w:szCs w:val="24"/>
              </w:rPr>
              <w:t>biometano</w:t>
            </w:r>
            <w:proofErr w:type="spellEnd"/>
            <w:r w:rsidRPr="003C2A91">
              <w:rPr>
                <w:sz w:val="24"/>
                <w:szCs w:val="24"/>
              </w:rPr>
              <w:t xml:space="preserve"> kokybė atitinka Amber Grid nustatytą techninę specifikaciją;</w:t>
            </w:r>
          </w:p>
          <w:p w14:paraId="5D2DAA8D" w14:textId="77777777" w:rsidR="003C2A91" w:rsidRPr="003C2A91" w:rsidRDefault="003C2A91" w:rsidP="003C2A91">
            <w:pPr>
              <w:pStyle w:val="CommentText"/>
              <w:rPr>
                <w:sz w:val="24"/>
                <w:szCs w:val="24"/>
              </w:rPr>
            </w:pPr>
            <w:r w:rsidRPr="003C2A91">
              <w:rPr>
                <w:sz w:val="24"/>
                <w:szCs w:val="24"/>
              </w:rPr>
              <w:t>- Įmonei suteikta išimtis atitinka Lietuvos ir Latvijos susitarimą dėl kokybės įsipareigojimų;</w:t>
            </w:r>
          </w:p>
          <w:p w14:paraId="3BE5685C" w14:textId="5DAA4B08" w:rsidR="003C2A91" w:rsidRPr="003C2A91" w:rsidRDefault="003C2A91" w:rsidP="003C2A91">
            <w:pPr>
              <w:pStyle w:val="CommentText"/>
              <w:rPr>
                <w:sz w:val="24"/>
                <w:szCs w:val="24"/>
              </w:rPr>
            </w:pPr>
            <w:r w:rsidRPr="003C2A91">
              <w:rPr>
                <w:sz w:val="24"/>
                <w:szCs w:val="24"/>
              </w:rPr>
              <w:t>- Įmonė veikia nepertraukiamai ir yra sudariusi komercines sutartis su klientais, kuriose yra nurodomi konkretūs tiekimo kiekiai;</w:t>
            </w:r>
          </w:p>
          <w:p w14:paraId="6AE152FB" w14:textId="77777777" w:rsidR="003C2A91" w:rsidRPr="003C2A91" w:rsidRDefault="003C2A91" w:rsidP="003C2A91">
            <w:pPr>
              <w:pStyle w:val="CommentText"/>
              <w:rPr>
                <w:sz w:val="24"/>
                <w:szCs w:val="24"/>
              </w:rPr>
            </w:pPr>
            <w:r w:rsidRPr="003C2A91">
              <w:rPr>
                <w:sz w:val="24"/>
                <w:szCs w:val="24"/>
              </w:rPr>
              <w:t>- Naujoji taisyklė iškraipo teisėtai individualizuotus šalių susitarimus dėl dujų kokybės;</w:t>
            </w:r>
          </w:p>
          <w:p w14:paraId="613964E9" w14:textId="77777777" w:rsidR="003C2A91" w:rsidRPr="003C2A91" w:rsidRDefault="003C2A91" w:rsidP="003C2A91">
            <w:pPr>
              <w:pStyle w:val="CommentText"/>
              <w:rPr>
                <w:sz w:val="24"/>
                <w:szCs w:val="24"/>
              </w:rPr>
            </w:pPr>
            <w:r w:rsidRPr="003C2A91">
              <w:rPr>
                <w:sz w:val="24"/>
                <w:szCs w:val="24"/>
              </w:rPr>
              <w:t>- Įmonė negali planuotis gamybos kiekių.</w:t>
            </w:r>
          </w:p>
          <w:p w14:paraId="5F6115C6" w14:textId="320D90AE" w:rsidR="003C2A91" w:rsidRPr="003C2A91" w:rsidRDefault="003C2A91" w:rsidP="003C2A91">
            <w:pPr>
              <w:pStyle w:val="CommentText"/>
              <w:rPr>
                <w:sz w:val="24"/>
                <w:szCs w:val="24"/>
              </w:rPr>
            </w:pPr>
            <w:r w:rsidRPr="003C2A91">
              <w:rPr>
                <w:sz w:val="24"/>
                <w:szCs w:val="24"/>
              </w:rPr>
              <w:t xml:space="preserve">Toks pakeitimas, net jei ir tokiu atveju, jei perdavimas dirbtinai praktikoje ir nebus stabdomas, labai padidins investicijų į </w:t>
            </w:r>
            <w:proofErr w:type="spellStart"/>
            <w:r w:rsidRPr="003C2A91">
              <w:rPr>
                <w:sz w:val="24"/>
                <w:szCs w:val="24"/>
              </w:rPr>
              <w:t>biometano</w:t>
            </w:r>
            <w:proofErr w:type="spellEnd"/>
            <w:r w:rsidRPr="003C2A91">
              <w:rPr>
                <w:sz w:val="24"/>
                <w:szCs w:val="24"/>
              </w:rPr>
              <w:t xml:space="preserve"> gamybą rizikingumą ir tai tiesiogiai paveiks </w:t>
            </w:r>
            <w:proofErr w:type="spellStart"/>
            <w:r w:rsidRPr="003C2A91">
              <w:rPr>
                <w:sz w:val="24"/>
                <w:szCs w:val="24"/>
              </w:rPr>
              <w:t>biometano</w:t>
            </w:r>
            <w:proofErr w:type="spellEnd"/>
            <w:r w:rsidRPr="003C2A91">
              <w:rPr>
                <w:sz w:val="24"/>
                <w:szCs w:val="24"/>
              </w:rPr>
              <w:t xml:space="preserve"> plėtrą Lietuvoje.</w:t>
            </w:r>
          </w:p>
          <w:p w14:paraId="12EF3352" w14:textId="1A91C01F" w:rsidR="00313E8F" w:rsidRDefault="003C2A91" w:rsidP="001E15ED">
            <w:pPr>
              <w:pStyle w:val="CommentText"/>
              <w:rPr>
                <w:bCs/>
                <w:szCs w:val="24"/>
              </w:rPr>
            </w:pPr>
            <w:r w:rsidRPr="003C2A91">
              <w:rPr>
                <w:sz w:val="24"/>
                <w:szCs w:val="24"/>
              </w:rPr>
              <w:lastRenderedPageBreak/>
              <w:t>Todėl prašome nepatvirtinti naujai siūlomo Taisyklių punkto (172.2 p.). PSO turi galimybę išvengti</w:t>
            </w:r>
            <w:r w:rsidR="001E15ED">
              <w:rPr>
                <w:sz w:val="24"/>
                <w:szCs w:val="24"/>
              </w:rPr>
              <w:t xml:space="preserve"> </w:t>
            </w:r>
            <w:r w:rsidRPr="003C2A91">
              <w:rPr>
                <w:sz w:val="24"/>
                <w:szCs w:val="24"/>
              </w:rPr>
              <w:t>gamtinių dujų perdavimo sistemos išleidimo taškuose pasiekiamos maksimaliai leistinos deguonies ir vandenilio kiekių per sutartinius santykius su dujų tiekėjais.</w:t>
            </w:r>
            <w:r w:rsidRPr="003C2A91">
              <w:rPr>
                <w:sz w:val="24"/>
                <w:szCs w:val="24"/>
              </w:rPr>
              <w:cr/>
            </w:r>
          </w:p>
          <w:p w14:paraId="28FB895E" w14:textId="737ABFA9" w:rsidR="00474099" w:rsidRPr="005A7832" w:rsidRDefault="00474099" w:rsidP="00313E8F">
            <w:pPr>
              <w:rPr>
                <w:bCs/>
                <w:szCs w:val="24"/>
              </w:rPr>
            </w:pPr>
          </w:p>
        </w:tc>
        <w:tc>
          <w:tcPr>
            <w:tcW w:w="7246" w:type="dxa"/>
            <w:gridSpan w:val="2"/>
          </w:tcPr>
          <w:p w14:paraId="7F44D220" w14:textId="0D55C515" w:rsidR="003124CC" w:rsidRPr="001A21FB" w:rsidRDefault="00485422" w:rsidP="00137B31">
            <w:pPr>
              <w:rPr>
                <w:b/>
                <w:szCs w:val="24"/>
              </w:rPr>
            </w:pPr>
            <w:r>
              <w:rPr>
                <w:b/>
                <w:szCs w:val="24"/>
              </w:rPr>
              <w:lastRenderedPageBreak/>
              <w:t>Nea</w:t>
            </w:r>
            <w:r w:rsidR="001A21FB" w:rsidRPr="001A21FB">
              <w:rPr>
                <w:b/>
                <w:szCs w:val="24"/>
              </w:rPr>
              <w:t>tsižvelgta</w:t>
            </w:r>
          </w:p>
          <w:p w14:paraId="7C48D53F" w14:textId="77777777" w:rsidR="001A21FB" w:rsidRDefault="001A21FB" w:rsidP="00137B31">
            <w:pPr>
              <w:rPr>
                <w:bCs/>
                <w:szCs w:val="24"/>
              </w:rPr>
            </w:pPr>
          </w:p>
          <w:p w14:paraId="7C2E39DE" w14:textId="7A60B3AA" w:rsidR="00174556" w:rsidRPr="001A21FB" w:rsidRDefault="00644943" w:rsidP="001A21FB">
            <w:pPr>
              <w:rPr>
                <w:bCs/>
                <w:szCs w:val="24"/>
              </w:rPr>
            </w:pPr>
            <w:r>
              <w:rPr>
                <w:bCs/>
                <w:szCs w:val="24"/>
              </w:rPr>
              <w:t>Atkreipiame dėmesį, kad analogiška teisė yra įtvirtinta ir visose bendradarbiavimo sutartyse sudaromose tarp perdavimo sistemos operatoriaus ir biodujų gamintojų įleidžiančių dujas į perdavimo sistemą</w:t>
            </w:r>
            <w:r w:rsidR="0099040C">
              <w:rPr>
                <w:bCs/>
                <w:szCs w:val="24"/>
              </w:rPr>
              <w:t>.</w:t>
            </w:r>
            <w:r w:rsidR="00577529">
              <w:rPr>
                <w:bCs/>
                <w:szCs w:val="24"/>
              </w:rPr>
              <w:t xml:space="preserve"> </w:t>
            </w:r>
            <w:r w:rsidR="0099040C">
              <w:rPr>
                <w:bCs/>
                <w:szCs w:val="24"/>
              </w:rPr>
              <w:t>A</w:t>
            </w:r>
            <w:r w:rsidR="00577529">
              <w:rPr>
                <w:bCs/>
                <w:szCs w:val="24"/>
              </w:rPr>
              <w:t xml:space="preserve">titinkamai </w:t>
            </w:r>
            <w:r w:rsidR="0099040C">
              <w:rPr>
                <w:bCs/>
                <w:szCs w:val="24"/>
              </w:rPr>
              <w:t xml:space="preserve">tokia nuostata </w:t>
            </w:r>
            <w:r w:rsidR="00577529">
              <w:rPr>
                <w:bCs/>
                <w:szCs w:val="24"/>
              </w:rPr>
              <w:t>yra numatyta ir bendradarbiavimo sutartyje su</w:t>
            </w:r>
            <w:r w:rsidR="005C743B">
              <w:rPr>
                <w:bCs/>
                <w:szCs w:val="24"/>
              </w:rPr>
              <w:t xml:space="preserve">darytoje </w:t>
            </w:r>
            <w:r w:rsidR="0099040C">
              <w:rPr>
                <w:bCs/>
                <w:szCs w:val="24"/>
              </w:rPr>
              <w:t>tarp AB „Amber Grid“ ir</w:t>
            </w:r>
            <w:r w:rsidR="005C743B">
              <w:rPr>
                <w:bCs/>
                <w:szCs w:val="24"/>
              </w:rPr>
              <w:t xml:space="preserve"> UAB „Tube Green“.</w:t>
            </w:r>
            <w:r>
              <w:rPr>
                <w:bCs/>
                <w:szCs w:val="24"/>
              </w:rPr>
              <w:t xml:space="preserve"> </w:t>
            </w:r>
            <w:r w:rsidR="000F5978">
              <w:rPr>
                <w:bCs/>
                <w:szCs w:val="24"/>
              </w:rPr>
              <w:t>Taisyklių projekt</w:t>
            </w:r>
            <w:r w:rsidR="00221262">
              <w:rPr>
                <w:bCs/>
                <w:szCs w:val="24"/>
              </w:rPr>
              <w:t xml:space="preserve">u </w:t>
            </w:r>
            <w:r w:rsidR="000F5978">
              <w:rPr>
                <w:bCs/>
                <w:szCs w:val="24"/>
              </w:rPr>
              <w:t xml:space="preserve">nesiekiama </w:t>
            </w:r>
            <w:r w:rsidR="003E10A8">
              <w:rPr>
                <w:bCs/>
                <w:szCs w:val="24"/>
              </w:rPr>
              <w:t>įtvirtinti</w:t>
            </w:r>
            <w:r w:rsidR="00221262">
              <w:rPr>
                <w:bCs/>
                <w:szCs w:val="24"/>
              </w:rPr>
              <w:t xml:space="preserve"> naujų teisių </w:t>
            </w:r>
            <w:r w:rsidR="00AE3122">
              <w:rPr>
                <w:bCs/>
                <w:szCs w:val="24"/>
              </w:rPr>
              <w:t>perdavimo sistemos operatoriui, o siekia</w:t>
            </w:r>
            <w:r w:rsidR="00A3178B">
              <w:rPr>
                <w:bCs/>
                <w:szCs w:val="24"/>
              </w:rPr>
              <w:t>ma</w:t>
            </w:r>
            <w:r w:rsidR="00AE3122">
              <w:rPr>
                <w:bCs/>
                <w:szCs w:val="24"/>
              </w:rPr>
              <w:t xml:space="preserve"> visiems rinkos dalyviams suteikti </w:t>
            </w:r>
            <w:r w:rsidR="00A3178B">
              <w:rPr>
                <w:bCs/>
                <w:szCs w:val="24"/>
              </w:rPr>
              <w:t xml:space="preserve">vienodą ir būtiną informaciją organizuojant dujų transportavimą </w:t>
            </w:r>
            <w:r w:rsidR="00A97D18">
              <w:rPr>
                <w:bCs/>
                <w:szCs w:val="24"/>
              </w:rPr>
              <w:t xml:space="preserve">gamtinių dujų perdavimo sistema. </w:t>
            </w:r>
            <w:r w:rsidR="000512BD">
              <w:rPr>
                <w:bCs/>
                <w:szCs w:val="24"/>
              </w:rPr>
              <w:t xml:space="preserve">Bendrovės nuomone, </w:t>
            </w:r>
            <w:r w:rsidR="00995AF0">
              <w:rPr>
                <w:bCs/>
                <w:szCs w:val="24"/>
              </w:rPr>
              <w:t>tais atvejais kai biodujų transportavimą vyk</w:t>
            </w:r>
            <w:r w:rsidR="006C1147">
              <w:rPr>
                <w:bCs/>
                <w:szCs w:val="24"/>
              </w:rPr>
              <w:t xml:space="preserve">do ne pats biodujų gamintojas, o kitas sistemos naudotojas, </w:t>
            </w:r>
            <w:r w:rsidR="005E56CB">
              <w:rPr>
                <w:bCs/>
                <w:szCs w:val="24"/>
              </w:rPr>
              <w:t xml:space="preserve">yra svarbu ir būtina, kad </w:t>
            </w:r>
            <w:r w:rsidR="00E518C3">
              <w:rPr>
                <w:bCs/>
                <w:szCs w:val="24"/>
              </w:rPr>
              <w:t xml:space="preserve">ši nuostata būtų taikoma ir </w:t>
            </w:r>
            <w:r w:rsidR="00575CE5">
              <w:rPr>
                <w:bCs/>
                <w:szCs w:val="24"/>
              </w:rPr>
              <w:t xml:space="preserve">žinoma </w:t>
            </w:r>
            <w:r w:rsidR="00E518C3">
              <w:rPr>
                <w:bCs/>
                <w:szCs w:val="24"/>
              </w:rPr>
              <w:t xml:space="preserve">sistemos naudotojui, kuriam </w:t>
            </w:r>
            <w:r w:rsidR="00CD2605">
              <w:rPr>
                <w:bCs/>
                <w:szCs w:val="24"/>
              </w:rPr>
              <w:t xml:space="preserve">bendradarbiavimo sutarties, sudarytos tarp  </w:t>
            </w:r>
            <w:r w:rsidR="00575CE5">
              <w:rPr>
                <w:bCs/>
                <w:szCs w:val="24"/>
              </w:rPr>
              <w:t>perdavimo sistemos operatoriaus ir biodujų gamintojo</w:t>
            </w:r>
            <w:r w:rsidR="00085CA1">
              <w:rPr>
                <w:bCs/>
                <w:szCs w:val="24"/>
              </w:rPr>
              <w:t>, nuostatos gali būti nežinomos</w:t>
            </w:r>
            <w:r w:rsidR="00F94ACE">
              <w:rPr>
                <w:bCs/>
                <w:szCs w:val="24"/>
              </w:rPr>
              <w:t xml:space="preserve"> ir nėra tiesiogiai taikomos.</w:t>
            </w:r>
            <w:r w:rsidR="00085CA1">
              <w:rPr>
                <w:bCs/>
                <w:szCs w:val="24"/>
              </w:rPr>
              <w:t xml:space="preserve"> </w:t>
            </w:r>
            <w:r w:rsidR="00174556">
              <w:rPr>
                <w:bCs/>
                <w:szCs w:val="24"/>
              </w:rPr>
              <w:t xml:space="preserve">Svarbu pažymėti, kad </w:t>
            </w:r>
            <w:r w:rsidR="001A3C5B">
              <w:rPr>
                <w:bCs/>
                <w:szCs w:val="24"/>
              </w:rPr>
              <w:t xml:space="preserve">perdavimo sistemos operatorius, suteikdamas </w:t>
            </w:r>
            <w:r w:rsidR="002568BA">
              <w:rPr>
                <w:bCs/>
                <w:szCs w:val="24"/>
              </w:rPr>
              <w:t xml:space="preserve">išimtį dėl dujų kokybės, įvertina galimybę atitinkamą kiekį transportuoti perdavimo sistema ir užtikrina, kad įprastomis sąlygomis </w:t>
            </w:r>
            <w:r w:rsidR="002E7AE1">
              <w:rPr>
                <w:bCs/>
                <w:szCs w:val="24"/>
              </w:rPr>
              <w:t xml:space="preserve">gali priimti atitinkamos kokybės dujas į perdavimo sistemą, tačiau esant netipinei situacijai perdavimo sistemoje (pavyzdžiui </w:t>
            </w:r>
            <w:r w:rsidR="00842EDF">
              <w:rPr>
                <w:bCs/>
                <w:szCs w:val="24"/>
              </w:rPr>
              <w:t xml:space="preserve">vykdant </w:t>
            </w:r>
            <w:r w:rsidR="00A6662B">
              <w:rPr>
                <w:bCs/>
                <w:szCs w:val="24"/>
              </w:rPr>
              <w:t>perdavimo sistemos priežiūros</w:t>
            </w:r>
            <w:r w:rsidR="00842EDF">
              <w:rPr>
                <w:bCs/>
                <w:szCs w:val="24"/>
              </w:rPr>
              <w:t xml:space="preserve"> darbus ar pan.), gali būti trumpalaikė būtinybė riboti įleidžiamų dujų kiekius</w:t>
            </w:r>
            <w:r w:rsidR="0099040C">
              <w:rPr>
                <w:bCs/>
                <w:szCs w:val="24"/>
              </w:rPr>
              <w:t>.</w:t>
            </w:r>
          </w:p>
        </w:tc>
      </w:tr>
      <w:tr w:rsidR="00F46F7D" w:rsidRPr="00C96DC7" w14:paraId="6319ABE7" w14:textId="77777777" w:rsidTr="00846AD3">
        <w:tc>
          <w:tcPr>
            <w:tcW w:w="713" w:type="dxa"/>
          </w:tcPr>
          <w:p w14:paraId="05978305" w14:textId="77777777" w:rsidR="00F46F7D" w:rsidRPr="00C96DC7" w:rsidRDefault="00F46F7D" w:rsidP="00F46F7D">
            <w:pPr>
              <w:pStyle w:val="ListParagraph"/>
              <w:numPr>
                <w:ilvl w:val="0"/>
                <w:numId w:val="3"/>
              </w:numPr>
              <w:rPr>
                <w:b/>
              </w:rPr>
            </w:pPr>
          </w:p>
        </w:tc>
        <w:tc>
          <w:tcPr>
            <w:tcW w:w="14483" w:type="dxa"/>
            <w:gridSpan w:val="3"/>
          </w:tcPr>
          <w:p w14:paraId="6B241A81" w14:textId="732EF6DC" w:rsidR="00F46F7D" w:rsidRPr="00C96DC7" w:rsidRDefault="00BB2425" w:rsidP="00F46F7D">
            <w:pPr>
              <w:jc w:val="left"/>
              <w:rPr>
                <w:b/>
                <w:szCs w:val="24"/>
              </w:rPr>
            </w:pPr>
            <w:r w:rsidRPr="00BB2425">
              <w:rPr>
                <w:b/>
                <w:szCs w:val="24"/>
              </w:rPr>
              <w:t xml:space="preserve">AS </w:t>
            </w:r>
            <w:proofErr w:type="spellStart"/>
            <w:r w:rsidRPr="00BB2425">
              <w:rPr>
                <w:b/>
                <w:szCs w:val="24"/>
              </w:rPr>
              <w:t>Eesti</w:t>
            </w:r>
            <w:proofErr w:type="spellEnd"/>
            <w:r w:rsidRPr="00BB2425">
              <w:rPr>
                <w:b/>
                <w:szCs w:val="24"/>
              </w:rPr>
              <w:t xml:space="preserve"> </w:t>
            </w:r>
            <w:proofErr w:type="spellStart"/>
            <w:r w:rsidRPr="00BB2425">
              <w:rPr>
                <w:b/>
                <w:szCs w:val="24"/>
              </w:rPr>
              <w:t>Gaas</w:t>
            </w:r>
            <w:proofErr w:type="spellEnd"/>
          </w:p>
        </w:tc>
      </w:tr>
      <w:tr w:rsidR="00820F63" w:rsidRPr="00DF11F5" w14:paraId="238CDA05" w14:textId="77777777" w:rsidTr="00846AD3">
        <w:tc>
          <w:tcPr>
            <w:tcW w:w="713" w:type="dxa"/>
          </w:tcPr>
          <w:p w14:paraId="7F0C2DBD" w14:textId="77777777" w:rsidR="00820F63" w:rsidRPr="00C96DC7" w:rsidRDefault="00820F63" w:rsidP="00820F63">
            <w:pPr>
              <w:numPr>
                <w:ilvl w:val="1"/>
                <w:numId w:val="3"/>
              </w:numPr>
              <w:tabs>
                <w:tab w:val="clear" w:pos="720"/>
                <w:tab w:val="left" w:pos="360"/>
              </w:tabs>
              <w:ind w:left="459" w:hanging="459"/>
              <w:jc w:val="left"/>
              <w:rPr>
                <w:b/>
                <w:szCs w:val="24"/>
              </w:rPr>
            </w:pPr>
          </w:p>
        </w:tc>
        <w:tc>
          <w:tcPr>
            <w:tcW w:w="7257" w:type="dxa"/>
            <w:gridSpan w:val="2"/>
          </w:tcPr>
          <w:p w14:paraId="6E50A58A" w14:textId="77777777" w:rsidR="00820F63" w:rsidRPr="00463A31" w:rsidRDefault="00820F63" w:rsidP="00820F63">
            <w:pPr>
              <w:rPr>
                <w:bCs/>
                <w:szCs w:val="24"/>
                <w:lang w:val="en-US"/>
              </w:rPr>
            </w:pPr>
            <w:r w:rsidRPr="00463A31">
              <w:rPr>
                <w:bCs/>
                <w:szCs w:val="24"/>
                <w:lang w:val="en-US"/>
              </w:rPr>
              <w:t xml:space="preserve">We would like to point out that the amendment proposed in Paragraph 119 of the Rules aims to limit the Network Users' ability to submit an invoice to the TSO for restrictions on firm transmission capacity. According to the new wording, the Network User would only be able to submit an invoice if the TSO fails to ensure firm transmission capacity and </w:t>
            </w:r>
            <w:r w:rsidRPr="00905C64">
              <w:rPr>
                <w:bCs/>
                <w:szCs w:val="24"/>
                <w:u w:val="single"/>
                <w:lang w:val="en-US"/>
              </w:rPr>
              <w:t>fails to inform the Network User about it</w:t>
            </w:r>
            <w:r w:rsidRPr="00463A31">
              <w:rPr>
                <w:bCs/>
                <w:szCs w:val="24"/>
                <w:lang w:val="en-US"/>
              </w:rPr>
              <w:t>.</w:t>
            </w:r>
          </w:p>
          <w:p w14:paraId="26EB8869" w14:textId="77777777" w:rsidR="00820F63" w:rsidRPr="004D6669" w:rsidRDefault="00820F63" w:rsidP="00820F63">
            <w:pPr>
              <w:pStyle w:val="ListParagraph"/>
              <w:numPr>
                <w:ilvl w:val="0"/>
                <w:numId w:val="21"/>
              </w:numPr>
              <w:rPr>
                <w:bCs/>
                <w:lang w:val="en-US"/>
              </w:rPr>
            </w:pPr>
            <w:r w:rsidRPr="004D6669">
              <w:rPr>
                <w:bCs/>
                <w:lang w:val="en-US"/>
              </w:rPr>
              <w:t>Firstly, in our opinion, it is insufficient for the TSO to notify the Network User of the restriction at any time. The provision should explicitly ensure that the TSO informs Network Users in advance, in accordance with Paragraph 177 of the Rules. If this is not done, the Network User should be able to submit an invoice.</w:t>
            </w:r>
          </w:p>
          <w:p w14:paraId="34DCDF90" w14:textId="77777777" w:rsidR="00820F63" w:rsidRPr="00B33E88" w:rsidRDefault="00820F63" w:rsidP="00820F63">
            <w:pPr>
              <w:pStyle w:val="ListParagraph"/>
              <w:numPr>
                <w:ilvl w:val="0"/>
                <w:numId w:val="21"/>
              </w:numPr>
              <w:rPr>
                <w:bCs/>
                <w:lang w:val="en-US"/>
              </w:rPr>
            </w:pPr>
            <w:r w:rsidRPr="00B33E88">
              <w:rPr>
                <w:bCs/>
                <w:lang w:val="en-US"/>
              </w:rPr>
              <w:t>Secondly, the newly introduced limitation is not substantively justified. Network Users should be able to submit an invoice for any period during which the TSO does not provide the service, regardless of whether they were informed or not.</w:t>
            </w:r>
          </w:p>
          <w:p w14:paraId="1143B442" w14:textId="187972BA" w:rsidR="00820F63" w:rsidRPr="00463A31" w:rsidRDefault="00820F63" w:rsidP="00820F63">
            <w:pPr>
              <w:rPr>
                <w:bCs/>
                <w:szCs w:val="24"/>
                <w:lang w:val="en-US"/>
              </w:rPr>
            </w:pPr>
            <w:r w:rsidRPr="00B33E88">
              <w:rPr>
                <w:bCs/>
                <w:szCs w:val="24"/>
                <w:lang w:val="en-US"/>
              </w:rPr>
              <w:t xml:space="preserve">Additionally, it is unclear </w:t>
            </w:r>
            <w:proofErr w:type="gramStart"/>
            <w:r w:rsidRPr="00B33E88">
              <w:rPr>
                <w:bCs/>
                <w:szCs w:val="24"/>
                <w:lang w:val="en-US"/>
              </w:rPr>
              <w:t>on the basis of</w:t>
            </w:r>
            <w:proofErr w:type="gramEnd"/>
            <w:r w:rsidRPr="00B33E88">
              <w:rPr>
                <w:bCs/>
                <w:szCs w:val="24"/>
                <w:lang w:val="en-US"/>
              </w:rPr>
              <w:t xml:space="preserve"> which tariff the Network User shall issue invoice to TSO for restriction of firm transmission capacity. Is it meant that the invoice should be based on the tariffs listed in Paragraph 114 of the Rules? If so, we kindly suggest that the text of Paragraph 119 be clarified accordingly to avoid misunderstandings.</w:t>
            </w:r>
          </w:p>
        </w:tc>
        <w:tc>
          <w:tcPr>
            <w:tcW w:w="7226" w:type="dxa"/>
          </w:tcPr>
          <w:p w14:paraId="06331421" w14:textId="2B9766E4" w:rsidR="00820F63" w:rsidRDefault="00A66E5E" w:rsidP="00820F63">
            <w:pPr>
              <w:rPr>
                <w:b/>
                <w:szCs w:val="24"/>
              </w:rPr>
            </w:pPr>
            <w:r>
              <w:rPr>
                <w:b/>
                <w:szCs w:val="24"/>
              </w:rPr>
              <w:t>Atsižvelgta</w:t>
            </w:r>
          </w:p>
          <w:p w14:paraId="7097DF32" w14:textId="77777777" w:rsidR="00820F63" w:rsidRDefault="00820F63" w:rsidP="00820F63">
            <w:pPr>
              <w:rPr>
                <w:b/>
                <w:szCs w:val="24"/>
              </w:rPr>
            </w:pPr>
          </w:p>
          <w:p w14:paraId="0D5A7DA0" w14:textId="42BC162E" w:rsidR="00820F63" w:rsidRDefault="00820F63" w:rsidP="00820F63">
            <w:pPr>
              <w:rPr>
                <w:bCs/>
                <w:szCs w:val="24"/>
              </w:rPr>
            </w:pPr>
            <w:r w:rsidRPr="00F27F4A">
              <w:rPr>
                <w:bCs/>
                <w:szCs w:val="24"/>
              </w:rPr>
              <w:t xml:space="preserve">Taisyklių </w:t>
            </w:r>
            <w:r>
              <w:rPr>
                <w:bCs/>
                <w:szCs w:val="24"/>
              </w:rPr>
              <w:t xml:space="preserve">119 punkto pakeitimu siekiama nustatyti faktinę situaciją, </w:t>
            </w:r>
            <w:proofErr w:type="spellStart"/>
            <w:r>
              <w:rPr>
                <w:bCs/>
                <w:szCs w:val="24"/>
              </w:rPr>
              <w:t>t.y</w:t>
            </w:r>
            <w:proofErr w:type="spellEnd"/>
            <w:r>
              <w:rPr>
                <w:bCs/>
                <w:szCs w:val="24"/>
              </w:rPr>
              <w:t xml:space="preserve">. šiuo metu nėra numatyta ribojimų derinimo su sistemos naudotojais mechanizmas. Tiek taisyklėmis tiek ir kitais teisės aktais yra nustatyta pareiga perdavimo sistemos operatoriui laiku ir tinkamai informuoti apie planuojamus perdavimo paslaugų ribojimus. Taisyklių 119 punkto pakeitimu yra siekiama aiškiai nustatyti, kad tais atvejais kai perdavimo sistemos </w:t>
            </w:r>
            <w:r w:rsidR="00A66E5E">
              <w:rPr>
                <w:bCs/>
                <w:szCs w:val="24"/>
              </w:rPr>
              <w:t>operatorius</w:t>
            </w:r>
            <w:r>
              <w:rPr>
                <w:bCs/>
                <w:szCs w:val="24"/>
              </w:rPr>
              <w:t xml:space="preserve"> laiku ir tinkamai neinformuoja apie būsimus ribojimus, už tokį pajėgumų ribojimą </w:t>
            </w:r>
            <w:r w:rsidR="00A66E5E">
              <w:rPr>
                <w:bCs/>
                <w:szCs w:val="24"/>
              </w:rPr>
              <w:t xml:space="preserve">kompensuojama naudojant </w:t>
            </w:r>
            <w:r>
              <w:rPr>
                <w:bCs/>
                <w:szCs w:val="24"/>
              </w:rPr>
              <w:t>tarifą nustat</w:t>
            </w:r>
            <w:r w:rsidR="00A66E5E">
              <w:rPr>
                <w:bCs/>
                <w:szCs w:val="24"/>
              </w:rPr>
              <w:t>yta</w:t>
            </w:r>
            <w:r>
              <w:rPr>
                <w:bCs/>
                <w:szCs w:val="24"/>
              </w:rPr>
              <w:t xml:space="preserve"> pagal Taisyklių 114 punkt</w:t>
            </w:r>
            <w:r w:rsidR="00A66E5E">
              <w:rPr>
                <w:bCs/>
                <w:szCs w:val="24"/>
              </w:rPr>
              <w:t>u</w:t>
            </w:r>
            <w:r>
              <w:rPr>
                <w:bCs/>
                <w:szCs w:val="24"/>
              </w:rPr>
              <w:t>.</w:t>
            </w:r>
          </w:p>
          <w:p w14:paraId="3767D88F" w14:textId="77777777" w:rsidR="00A66E5E" w:rsidRPr="00A66E5E" w:rsidRDefault="00A66E5E" w:rsidP="00A66E5E">
            <w:pPr>
              <w:rPr>
                <w:bCs/>
                <w:szCs w:val="24"/>
              </w:rPr>
            </w:pPr>
            <w:r w:rsidRPr="00A66E5E">
              <w:rPr>
                <w:bCs/>
                <w:szCs w:val="24"/>
              </w:rPr>
              <w:t>Taisyklių 119 punktas patikslintas ir išdėstytas taip:</w:t>
            </w:r>
          </w:p>
          <w:p w14:paraId="11569C6F" w14:textId="7DECB0BB" w:rsidR="00A66E5E" w:rsidRPr="00F27F4A" w:rsidRDefault="00A66E5E" w:rsidP="00A66E5E">
            <w:pPr>
              <w:rPr>
                <w:bCs/>
                <w:szCs w:val="24"/>
              </w:rPr>
            </w:pPr>
            <w:r w:rsidRPr="00A66E5E">
              <w:rPr>
                <w:bCs/>
                <w:szCs w:val="24"/>
              </w:rPr>
              <w:t xml:space="preserve">„119. PSO neužtikrinus sistemos naudotojui nuolatinių perdavimo pajėgumų, iš anksto </w:t>
            </w:r>
            <w:r w:rsidR="00382E2B" w:rsidRPr="00382E2B">
              <w:rPr>
                <w:rFonts w:asciiTheme="minorHAnsi" w:hAnsiTheme="minorHAnsi"/>
                <w:strike/>
              </w:rPr>
              <w:t>ribojimą suderinus ar nesuderinus su</w:t>
            </w:r>
            <w:r w:rsidR="00382E2B">
              <w:rPr>
                <w:rFonts w:asciiTheme="minorHAnsi" w:hAnsiTheme="minorHAnsi"/>
              </w:rPr>
              <w:t xml:space="preserve"> </w:t>
            </w:r>
            <w:r w:rsidRPr="00382E2B">
              <w:rPr>
                <w:b/>
                <w:szCs w:val="24"/>
              </w:rPr>
              <w:t>neinformavus</w:t>
            </w:r>
            <w:r w:rsidRPr="00A66E5E">
              <w:rPr>
                <w:bCs/>
                <w:szCs w:val="24"/>
              </w:rPr>
              <w:t xml:space="preserve"> sistemos naudotojo, </w:t>
            </w:r>
            <w:r w:rsidRPr="00382E2B">
              <w:rPr>
                <w:bCs/>
                <w:strike/>
                <w:szCs w:val="24"/>
              </w:rPr>
              <w:t>sistemos naudotojas</w:t>
            </w:r>
            <w:r w:rsidRPr="00A66E5E">
              <w:rPr>
                <w:bCs/>
                <w:szCs w:val="24"/>
              </w:rPr>
              <w:t xml:space="preserve"> PSO </w:t>
            </w:r>
            <w:r w:rsidRPr="00382E2B">
              <w:rPr>
                <w:b/>
                <w:szCs w:val="24"/>
              </w:rPr>
              <w:t xml:space="preserve">už visus nuolatinių perdavimo pajėgumų ribojimus apskaičiuoja sistemos naudotojams mokėtiną sumą </w:t>
            </w:r>
            <w:r w:rsidRPr="00382E2B">
              <w:rPr>
                <w:bCs/>
                <w:strike/>
                <w:szCs w:val="24"/>
              </w:rPr>
              <w:t>pateikia sąskaitą už nuolatinių perdavimo pajėgumų ribojimą. Sąskaita už nuolatinių perdavimo pajėgumų ribojimą per ataskaitinį laikotarpį pateikiama iki 7-os po ataskaitinio laikotarpio kalendorinės dienos</w:t>
            </w:r>
            <w:r w:rsidRPr="00A66E5E">
              <w:rPr>
                <w:bCs/>
                <w:szCs w:val="24"/>
              </w:rPr>
              <w:t>.“</w:t>
            </w:r>
          </w:p>
          <w:p w14:paraId="63920B5C" w14:textId="77777777" w:rsidR="00820F63" w:rsidRDefault="00820F63" w:rsidP="00820F63">
            <w:pPr>
              <w:rPr>
                <w:bCs/>
                <w:szCs w:val="24"/>
              </w:rPr>
            </w:pPr>
          </w:p>
          <w:p w14:paraId="3D225E9C" w14:textId="30465ED3" w:rsidR="0069208C" w:rsidRPr="0069208C" w:rsidRDefault="00382E2B" w:rsidP="0069208C">
            <w:pPr>
              <w:rPr>
                <w:b/>
                <w:szCs w:val="24"/>
                <w:lang w:val="en-US"/>
              </w:rPr>
            </w:pPr>
            <w:proofErr w:type="gramStart"/>
            <w:r>
              <w:rPr>
                <w:b/>
                <w:szCs w:val="24"/>
                <w:lang w:val="en-US"/>
              </w:rPr>
              <w:t>T</w:t>
            </w:r>
            <w:r w:rsidR="0069208C" w:rsidRPr="0069208C">
              <w:rPr>
                <w:b/>
                <w:szCs w:val="24"/>
                <w:lang w:val="en-US"/>
              </w:rPr>
              <w:t>aken into account</w:t>
            </w:r>
            <w:proofErr w:type="gramEnd"/>
          </w:p>
          <w:p w14:paraId="6A944A54" w14:textId="77777777" w:rsidR="0069208C" w:rsidRPr="0069208C" w:rsidRDefault="0069208C" w:rsidP="0069208C">
            <w:pPr>
              <w:rPr>
                <w:b/>
                <w:szCs w:val="24"/>
                <w:lang w:val="en-US"/>
              </w:rPr>
            </w:pPr>
          </w:p>
          <w:p w14:paraId="2A45C1A6" w14:textId="77777777" w:rsidR="00820F63" w:rsidRDefault="0069208C" w:rsidP="0069208C">
            <w:pPr>
              <w:rPr>
                <w:bCs/>
                <w:szCs w:val="24"/>
                <w:lang w:val="en-US"/>
              </w:rPr>
            </w:pPr>
            <w:r w:rsidRPr="0069208C">
              <w:rPr>
                <w:bCs/>
                <w:szCs w:val="24"/>
                <w:lang w:val="en-US"/>
              </w:rPr>
              <w:lastRenderedPageBreak/>
              <w:t xml:space="preserve">The amendment to paragraph 119 of the </w:t>
            </w:r>
            <w:r>
              <w:rPr>
                <w:bCs/>
                <w:szCs w:val="24"/>
                <w:lang w:val="en-US"/>
              </w:rPr>
              <w:t>Rules</w:t>
            </w:r>
            <w:r w:rsidRPr="0069208C">
              <w:rPr>
                <w:bCs/>
                <w:szCs w:val="24"/>
                <w:lang w:val="en-US"/>
              </w:rPr>
              <w:t xml:space="preserve"> aims to establish the factual situation, i.e. there is currently no mechanism for coordination of restrictions with </w:t>
            </w:r>
            <w:r w:rsidR="00042623">
              <w:rPr>
                <w:bCs/>
                <w:szCs w:val="24"/>
                <w:lang w:val="en-US"/>
              </w:rPr>
              <w:t>network</w:t>
            </w:r>
            <w:r w:rsidRPr="0069208C">
              <w:rPr>
                <w:bCs/>
                <w:szCs w:val="24"/>
                <w:lang w:val="en-US"/>
              </w:rPr>
              <w:t xml:space="preserve"> users. Both the Rules and other legislation impose an obligation on the transmission system operator to provide timely and adequate information on planned restrictions of transmission services. The amendment to point 119 of the Rules is intended to make it clear that in cases where the transmission system </w:t>
            </w:r>
            <w:r w:rsidR="00A66E5E">
              <w:rPr>
                <w:bCs/>
                <w:szCs w:val="24"/>
                <w:lang w:val="en-US"/>
              </w:rPr>
              <w:t>operator</w:t>
            </w:r>
            <w:r w:rsidRPr="0069208C">
              <w:rPr>
                <w:bCs/>
                <w:szCs w:val="24"/>
                <w:lang w:val="en-US"/>
              </w:rPr>
              <w:t xml:space="preserve"> fails to provide timely and adequate notice of forthcoming </w:t>
            </w:r>
            <w:r w:rsidR="00042623">
              <w:rPr>
                <w:bCs/>
                <w:szCs w:val="24"/>
                <w:lang w:val="en-US"/>
              </w:rPr>
              <w:t>restrictions</w:t>
            </w:r>
            <w:r w:rsidRPr="0069208C">
              <w:rPr>
                <w:bCs/>
                <w:szCs w:val="24"/>
                <w:lang w:val="en-US"/>
              </w:rPr>
              <w:t xml:space="preserve">, for such </w:t>
            </w:r>
            <w:r w:rsidR="009F4119">
              <w:rPr>
                <w:bCs/>
                <w:szCs w:val="24"/>
                <w:lang w:val="en-US"/>
              </w:rPr>
              <w:t>restrictions</w:t>
            </w:r>
            <w:r w:rsidRPr="0069208C">
              <w:rPr>
                <w:bCs/>
                <w:szCs w:val="24"/>
                <w:lang w:val="en-US"/>
              </w:rPr>
              <w:t xml:space="preserve"> </w:t>
            </w:r>
            <w:r w:rsidR="00A66E5E">
              <w:rPr>
                <w:bCs/>
                <w:szCs w:val="24"/>
                <w:lang w:val="en-US"/>
              </w:rPr>
              <w:t xml:space="preserve">compensation shall be calculated </w:t>
            </w:r>
            <w:r w:rsidRPr="0069208C">
              <w:rPr>
                <w:bCs/>
                <w:szCs w:val="24"/>
                <w:lang w:val="en-US"/>
              </w:rPr>
              <w:t xml:space="preserve">at a tariff determined in accordance with point 114 of the Rules. </w:t>
            </w:r>
          </w:p>
          <w:p w14:paraId="5122C349" w14:textId="64ACE183" w:rsidR="00382E2B" w:rsidRDefault="00382E2B" w:rsidP="00382E2B">
            <w:pPr>
              <w:rPr>
                <w:bCs/>
                <w:szCs w:val="24"/>
                <w:lang w:val="en-US"/>
              </w:rPr>
            </w:pPr>
            <w:r>
              <w:rPr>
                <w:bCs/>
                <w:szCs w:val="24"/>
                <w:lang w:val="en-US"/>
              </w:rPr>
              <w:t>Point</w:t>
            </w:r>
            <w:r w:rsidRPr="00297A8D">
              <w:rPr>
                <w:bCs/>
                <w:szCs w:val="24"/>
                <w:lang w:val="en-US"/>
              </w:rPr>
              <w:t xml:space="preserve"> 1</w:t>
            </w:r>
            <w:r>
              <w:rPr>
                <w:bCs/>
                <w:szCs w:val="24"/>
                <w:lang w:val="en-US"/>
              </w:rPr>
              <w:t>19</w:t>
            </w:r>
            <w:r w:rsidRPr="00297A8D">
              <w:rPr>
                <w:bCs/>
                <w:szCs w:val="24"/>
                <w:lang w:val="en-US"/>
              </w:rPr>
              <w:t xml:space="preserve"> of the </w:t>
            </w:r>
            <w:r>
              <w:rPr>
                <w:bCs/>
                <w:szCs w:val="24"/>
                <w:lang w:val="en-US"/>
              </w:rPr>
              <w:t>R</w:t>
            </w:r>
            <w:r w:rsidRPr="00297A8D">
              <w:rPr>
                <w:bCs/>
                <w:szCs w:val="24"/>
                <w:lang w:val="en-US"/>
              </w:rPr>
              <w:t>ules is amended and reformulated as follows</w:t>
            </w:r>
            <w:r w:rsidRPr="002E32C5">
              <w:rPr>
                <w:bCs/>
                <w:szCs w:val="24"/>
                <w:lang w:val="en-US"/>
              </w:rPr>
              <w:t>:</w:t>
            </w:r>
          </w:p>
          <w:p w14:paraId="57306CAC" w14:textId="06586D54" w:rsidR="00382E2B" w:rsidRPr="002E32C5" w:rsidRDefault="00382E2B" w:rsidP="00382E2B">
            <w:pPr>
              <w:rPr>
                <w:bCs/>
                <w:szCs w:val="24"/>
                <w:lang w:val="en-US"/>
              </w:rPr>
            </w:pPr>
            <w:r>
              <w:rPr>
                <w:bCs/>
                <w:szCs w:val="24"/>
                <w:lang w:val="en-US"/>
              </w:rPr>
              <w:t>“</w:t>
            </w:r>
            <w:r w:rsidRPr="00382E2B">
              <w:rPr>
                <w:bCs/>
                <w:szCs w:val="24"/>
                <w:lang w:val="en-US"/>
              </w:rPr>
              <w:t>119.</w:t>
            </w:r>
            <w:r w:rsidRPr="00382E2B">
              <w:rPr>
                <w:bCs/>
                <w:szCs w:val="24"/>
                <w:lang w:val="en-US"/>
              </w:rPr>
              <w:tab/>
              <w:t xml:space="preserve">If the TSO fails to ensure firm transmission capacity to the Network User, </w:t>
            </w:r>
            <w:r w:rsidRPr="00382E2B">
              <w:rPr>
                <w:bCs/>
                <w:strike/>
                <w:szCs w:val="24"/>
                <w:lang w:val="en-US"/>
              </w:rPr>
              <w:t>after</w:t>
            </w:r>
            <w:r w:rsidRPr="00382E2B">
              <w:rPr>
                <w:bCs/>
                <w:szCs w:val="24"/>
                <w:lang w:val="en-US"/>
              </w:rPr>
              <w:t xml:space="preserve"> which </w:t>
            </w:r>
            <w:r w:rsidRPr="00382E2B">
              <w:rPr>
                <w:b/>
                <w:szCs w:val="24"/>
                <w:lang w:val="en-US"/>
              </w:rPr>
              <w:t>the TSO does not inform Network User</w:t>
            </w:r>
            <w:r w:rsidRPr="00382E2B">
              <w:rPr>
                <w:bCs/>
                <w:szCs w:val="24"/>
                <w:lang w:val="en-US"/>
              </w:rPr>
              <w:t xml:space="preserve"> </w:t>
            </w:r>
            <w:r w:rsidRPr="00382E2B">
              <w:rPr>
                <w:bCs/>
                <w:strike/>
                <w:szCs w:val="24"/>
                <w:lang w:val="en-US"/>
              </w:rPr>
              <w:t>in advance coordination or non-coordination of restriction with the Network Use</w:t>
            </w:r>
            <w:r w:rsidRPr="00382E2B">
              <w:rPr>
                <w:bCs/>
                <w:szCs w:val="24"/>
                <w:lang w:val="en-US"/>
              </w:rPr>
              <w:t xml:space="preserve">r, the </w:t>
            </w:r>
            <w:r w:rsidRPr="00382E2B">
              <w:rPr>
                <w:bCs/>
                <w:strike/>
                <w:szCs w:val="24"/>
                <w:lang w:val="en-US"/>
              </w:rPr>
              <w:t xml:space="preserve">Network User shall issue to </w:t>
            </w:r>
            <w:r w:rsidRPr="00382E2B">
              <w:rPr>
                <w:b/>
                <w:szCs w:val="24"/>
                <w:lang w:val="en-US"/>
              </w:rPr>
              <w:t xml:space="preserve">TSO calculate the amount to be paid to </w:t>
            </w:r>
            <w:r>
              <w:rPr>
                <w:b/>
                <w:szCs w:val="24"/>
                <w:lang w:val="en-US"/>
              </w:rPr>
              <w:t>Network users</w:t>
            </w:r>
            <w:r w:rsidRPr="00382E2B">
              <w:rPr>
                <w:b/>
                <w:szCs w:val="24"/>
                <w:lang w:val="en-US"/>
              </w:rPr>
              <w:t xml:space="preserve"> for any </w:t>
            </w:r>
            <w:r>
              <w:rPr>
                <w:b/>
                <w:szCs w:val="24"/>
                <w:lang w:val="en-US"/>
              </w:rPr>
              <w:t>restrictions</w:t>
            </w:r>
            <w:r w:rsidRPr="00382E2B">
              <w:rPr>
                <w:b/>
                <w:szCs w:val="24"/>
                <w:lang w:val="en-US"/>
              </w:rPr>
              <w:t xml:space="preserve"> on firm transmission capacity</w:t>
            </w:r>
            <w:r w:rsidRPr="00382E2B">
              <w:rPr>
                <w:bCs/>
                <w:szCs w:val="24"/>
                <w:lang w:val="en-US"/>
              </w:rPr>
              <w:t xml:space="preserve"> </w:t>
            </w:r>
            <w:r w:rsidRPr="00382E2B">
              <w:rPr>
                <w:bCs/>
                <w:strike/>
                <w:szCs w:val="24"/>
                <w:lang w:val="en-US"/>
              </w:rPr>
              <w:t>an invoice for restriction of firm transmission capacity. The invoice for restriction of firm transmission capacity during the reporting period shall be issued until the 7th calendar day after the reporting period</w:t>
            </w:r>
            <w:r w:rsidRPr="00382E2B">
              <w:rPr>
                <w:bCs/>
                <w:szCs w:val="24"/>
                <w:lang w:val="en-US"/>
              </w:rPr>
              <w:t>.</w:t>
            </w:r>
            <w:r w:rsidR="00EE658E">
              <w:rPr>
                <w:bCs/>
                <w:szCs w:val="24"/>
                <w:lang w:val="en-US"/>
              </w:rPr>
              <w:t>”</w:t>
            </w:r>
            <w:r w:rsidRPr="00382E2B">
              <w:rPr>
                <w:bCs/>
                <w:szCs w:val="24"/>
                <w:lang w:val="en-US"/>
              </w:rPr>
              <w:t xml:space="preserve">  </w:t>
            </w:r>
          </w:p>
          <w:p w14:paraId="6D67008C" w14:textId="730BB4E5" w:rsidR="00382E2B" w:rsidRPr="00382E2B" w:rsidRDefault="00382E2B" w:rsidP="0069208C">
            <w:pPr>
              <w:rPr>
                <w:bCs/>
                <w:szCs w:val="24"/>
                <w:lang w:val="en-US"/>
              </w:rPr>
            </w:pPr>
          </w:p>
        </w:tc>
      </w:tr>
      <w:tr w:rsidR="00B83806" w:rsidRPr="00DF11F5" w14:paraId="3FDD6BE1" w14:textId="77777777" w:rsidTr="00846AD3">
        <w:tc>
          <w:tcPr>
            <w:tcW w:w="713" w:type="dxa"/>
          </w:tcPr>
          <w:p w14:paraId="458E42D5"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2543F976" w14:textId="77777777" w:rsidR="00B83806" w:rsidRPr="00B33231" w:rsidRDefault="00B83806" w:rsidP="00B83806">
            <w:pPr>
              <w:rPr>
                <w:bCs/>
                <w:lang w:val="en-US"/>
              </w:rPr>
            </w:pPr>
            <w:r w:rsidRPr="00B33231">
              <w:rPr>
                <w:bCs/>
                <w:lang w:val="en-US"/>
              </w:rPr>
              <w:t>We would also like to draw attention to the newly added Paragraphs 120.2.1 and 120.2.2, which set out criteria under which the TSO either calculates or does not calculate the amount to be refunded to Network Users.</w:t>
            </w:r>
          </w:p>
          <w:p w14:paraId="3BC5EA13" w14:textId="77777777" w:rsidR="00B83806" w:rsidRDefault="00B83806" w:rsidP="00B83806">
            <w:pPr>
              <w:pStyle w:val="ListParagraph"/>
              <w:numPr>
                <w:ilvl w:val="0"/>
                <w:numId w:val="22"/>
              </w:numPr>
              <w:rPr>
                <w:bCs/>
                <w:lang w:val="en-US"/>
              </w:rPr>
            </w:pPr>
            <w:r w:rsidRPr="00B33231">
              <w:rPr>
                <w:bCs/>
                <w:lang w:val="en-US"/>
              </w:rPr>
              <w:t xml:space="preserve">Firstly, we note that </w:t>
            </w:r>
            <w:proofErr w:type="gramStart"/>
            <w:r w:rsidRPr="00B33231">
              <w:rPr>
                <w:bCs/>
                <w:lang w:val="en-US"/>
              </w:rPr>
              <w:t>both of these</w:t>
            </w:r>
            <w:proofErr w:type="gramEnd"/>
            <w:r w:rsidRPr="00B33231">
              <w:rPr>
                <w:bCs/>
                <w:lang w:val="en-US"/>
              </w:rPr>
              <w:t xml:space="preserve"> paragraphs seem to address situations where the nomination submitted by the Network User is equal to the technical capacity of the connection point after the restriction. This raises uncertainty as to whether, in such a case, the amount to be refunded is calculated (Paragraph 120.2.2) or not (Paragraph 120.2.1).</w:t>
            </w:r>
          </w:p>
          <w:p w14:paraId="32B1BC4F" w14:textId="77777777" w:rsidR="00B83806" w:rsidRDefault="00B83806" w:rsidP="00B83806">
            <w:pPr>
              <w:pStyle w:val="ListParagraph"/>
              <w:numPr>
                <w:ilvl w:val="0"/>
                <w:numId w:val="22"/>
              </w:numPr>
              <w:rPr>
                <w:bCs/>
                <w:lang w:val="en-US"/>
              </w:rPr>
            </w:pPr>
            <w:r w:rsidRPr="00B33231">
              <w:rPr>
                <w:bCs/>
                <w:lang w:val="en-US"/>
              </w:rPr>
              <w:lastRenderedPageBreak/>
              <w:t>Additionally, in Paragraph 120.2.1 reference is made to Paragraph 120.3.3, but there is no such paragraph.</w:t>
            </w:r>
          </w:p>
          <w:p w14:paraId="7DA6CA27" w14:textId="679201A2" w:rsidR="00B83806" w:rsidRPr="00B33231" w:rsidRDefault="00B83806" w:rsidP="00B83806">
            <w:pPr>
              <w:rPr>
                <w:bCs/>
                <w:lang w:val="en-US"/>
              </w:rPr>
            </w:pPr>
            <w:r w:rsidRPr="00B33231">
              <w:rPr>
                <w:bCs/>
                <w:lang w:val="en-US"/>
              </w:rPr>
              <w:t>Paragraph 120, which currently refers to “the cases of the restriction of capacity specified in chapter XVIII”, could clearly refer to paragraph 172 of the Rules.</w:t>
            </w:r>
          </w:p>
        </w:tc>
        <w:tc>
          <w:tcPr>
            <w:tcW w:w="7226" w:type="dxa"/>
          </w:tcPr>
          <w:p w14:paraId="5D432F3A" w14:textId="77777777" w:rsidR="00B83806" w:rsidRPr="002E32C5" w:rsidRDefault="00B83806" w:rsidP="00B83806">
            <w:pPr>
              <w:rPr>
                <w:b/>
                <w:szCs w:val="24"/>
              </w:rPr>
            </w:pPr>
            <w:r w:rsidRPr="002E32C5">
              <w:rPr>
                <w:b/>
                <w:szCs w:val="24"/>
              </w:rPr>
              <w:lastRenderedPageBreak/>
              <w:t>Atsižvelgta</w:t>
            </w:r>
          </w:p>
          <w:p w14:paraId="7577B715" w14:textId="77777777" w:rsidR="00B83806" w:rsidRDefault="00B83806" w:rsidP="00B83806">
            <w:pPr>
              <w:rPr>
                <w:bCs/>
                <w:szCs w:val="24"/>
              </w:rPr>
            </w:pPr>
          </w:p>
          <w:p w14:paraId="0CB799DE" w14:textId="77777777" w:rsidR="00B83806" w:rsidRDefault="00B83806" w:rsidP="00B83806">
            <w:pPr>
              <w:rPr>
                <w:bCs/>
                <w:szCs w:val="24"/>
              </w:rPr>
            </w:pPr>
            <w:r>
              <w:rPr>
                <w:bCs/>
                <w:szCs w:val="24"/>
              </w:rPr>
              <w:t xml:space="preserve">Taisyklių 120.2.1 punktas numato, kad tais atvejais kai sistemos naudotojo pateikta kiekio paraiška yra lygi ar mažesnė nei techninei pajėgumai po apribojimo, kompensacija neskaičiuojama, nes sistemos naudotojas galėjo nominuoti norimą kiekį, išskyrus 120.2.3 punkte numatytą situaciją kai yra apribojama pateikta kiekio paraiška. Tokiu atveju kompensacija yra skaičiuojama pagal taisyklių 120.2.3 punktą. </w:t>
            </w:r>
          </w:p>
          <w:p w14:paraId="7A96893A" w14:textId="77777777" w:rsidR="00B83806" w:rsidRDefault="00B83806" w:rsidP="00B83806">
            <w:pPr>
              <w:rPr>
                <w:bCs/>
                <w:szCs w:val="24"/>
              </w:rPr>
            </w:pPr>
            <w:r>
              <w:rPr>
                <w:bCs/>
                <w:szCs w:val="24"/>
              </w:rPr>
              <w:t xml:space="preserve">Taisyklių 120.2.2 punktu yra nustatyta, kad tais atvejais kai 1) sistemos naudotojo pateikta kiekio paraiška yra lygi techniniams pajėgumams po apribojimo </w:t>
            </w:r>
            <w:r w:rsidRPr="0012776E">
              <w:rPr>
                <w:b/>
                <w:szCs w:val="24"/>
                <w:u w:val="single"/>
              </w:rPr>
              <w:t>ir</w:t>
            </w:r>
            <w:r>
              <w:rPr>
                <w:bCs/>
                <w:szCs w:val="24"/>
              </w:rPr>
              <w:t xml:space="preserve"> 2) sistemos naudotojo užsakyti nuolatiniai pajėgumai viršija </w:t>
            </w:r>
            <w:r>
              <w:rPr>
                <w:bCs/>
                <w:szCs w:val="24"/>
              </w:rPr>
              <w:lastRenderedPageBreak/>
              <w:t>techninius pajėgumus po apribojimo, yra skaičiuojama kompensacija už užsakytų pajėgumų dalį kuri viršija techninius pajėgumus po apribojimo.</w:t>
            </w:r>
          </w:p>
          <w:p w14:paraId="7C1B5D05" w14:textId="08156559" w:rsidR="00B83806" w:rsidRDefault="00C0655F" w:rsidP="00B83806">
            <w:pPr>
              <w:rPr>
                <w:bCs/>
                <w:szCs w:val="24"/>
              </w:rPr>
            </w:pPr>
            <w:r>
              <w:rPr>
                <w:bCs/>
                <w:szCs w:val="24"/>
              </w:rPr>
              <w:t>Siekiant aiškumo t</w:t>
            </w:r>
            <w:r w:rsidR="00B83806">
              <w:rPr>
                <w:bCs/>
                <w:szCs w:val="24"/>
              </w:rPr>
              <w:t>aisyklių 120.2.1</w:t>
            </w:r>
            <w:r w:rsidR="005F51B2">
              <w:rPr>
                <w:bCs/>
                <w:szCs w:val="24"/>
              </w:rPr>
              <w:t xml:space="preserve"> </w:t>
            </w:r>
            <w:r w:rsidR="00B83806">
              <w:rPr>
                <w:bCs/>
                <w:szCs w:val="24"/>
              </w:rPr>
              <w:t>punkta</w:t>
            </w:r>
            <w:r w:rsidR="005F51B2">
              <w:rPr>
                <w:bCs/>
                <w:szCs w:val="24"/>
              </w:rPr>
              <w:t>s</w:t>
            </w:r>
            <w:r w:rsidR="00B83806">
              <w:rPr>
                <w:bCs/>
                <w:szCs w:val="24"/>
              </w:rPr>
              <w:t xml:space="preserve"> patikslinamas ir išdėstomas taip:</w:t>
            </w:r>
          </w:p>
          <w:p w14:paraId="40CC78D6" w14:textId="47C3D852" w:rsidR="00B83806" w:rsidRDefault="00B83806" w:rsidP="00B83806">
            <w:pPr>
              <w:rPr>
                <w:bCs/>
                <w:szCs w:val="24"/>
              </w:rPr>
            </w:pPr>
            <w:r>
              <w:rPr>
                <w:bCs/>
                <w:szCs w:val="24"/>
              </w:rPr>
              <w:t>„120.2.1.</w:t>
            </w:r>
            <w:r w:rsidR="00C0655F">
              <w:t xml:space="preserve"> </w:t>
            </w:r>
            <w:r w:rsidR="00C0655F" w:rsidRPr="00C0655F">
              <w:rPr>
                <w:bCs/>
                <w:szCs w:val="24"/>
              </w:rPr>
              <w:t>Jei sistemos naudotojo pateikta kiekio paraiška yra mažesnė arba lygi sujungimo taško techniniams pajėgumams po apribojimo, kai sistemos naudotojo užsakyti nuolatiniai perdavimo pajėgumai neviršija sujungimo taško techninių pajėgumų po apribojimo, grąžintina suma neskaičiuojama,</w:t>
            </w:r>
            <w:r w:rsidR="00C0655F">
              <w:rPr>
                <w:bCs/>
                <w:szCs w:val="24"/>
              </w:rPr>
              <w:t xml:space="preserve"> </w:t>
            </w:r>
            <w:r w:rsidR="00C0655F" w:rsidRPr="00C0655F">
              <w:rPr>
                <w:bCs/>
                <w:szCs w:val="24"/>
              </w:rPr>
              <w:t>išskyrus 120.2.3 numatytą situaciją</w:t>
            </w:r>
            <w:r w:rsidR="00C0655F">
              <w:rPr>
                <w:bCs/>
                <w:szCs w:val="24"/>
              </w:rPr>
              <w:t>.</w:t>
            </w:r>
            <w:r>
              <w:rPr>
                <w:bCs/>
                <w:szCs w:val="24"/>
              </w:rPr>
              <w:t>“</w:t>
            </w:r>
          </w:p>
          <w:p w14:paraId="7F44727E" w14:textId="77777777" w:rsidR="00B83806" w:rsidRDefault="00B83806" w:rsidP="00B83806">
            <w:pPr>
              <w:rPr>
                <w:bCs/>
                <w:szCs w:val="24"/>
              </w:rPr>
            </w:pPr>
          </w:p>
          <w:p w14:paraId="7FE95A49" w14:textId="77777777" w:rsidR="00B83806" w:rsidRPr="002E32C5" w:rsidRDefault="00B83806" w:rsidP="00B83806">
            <w:pPr>
              <w:rPr>
                <w:b/>
                <w:szCs w:val="24"/>
                <w:lang w:val="en-US"/>
              </w:rPr>
            </w:pPr>
            <w:proofErr w:type="gramStart"/>
            <w:r w:rsidRPr="002E32C5">
              <w:rPr>
                <w:b/>
                <w:szCs w:val="24"/>
                <w:lang w:val="en-US"/>
              </w:rPr>
              <w:t>Taken into account</w:t>
            </w:r>
            <w:proofErr w:type="gramEnd"/>
          </w:p>
          <w:p w14:paraId="36398EF1" w14:textId="77777777" w:rsidR="00B83806" w:rsidRPr="002E32C5" w:rsidRDefault="00B83806" w:rsidP="00B83806">
            <w:pPr>
              <w:rPr>
                <w:bCs/>
                <w:szCs w:val="24"/>
                <w:lang w:val="en-US"/>
              </w:rPr>
            </w:pPr>
          </w:p>
          <w:p w14:paraId="592D8718" w14:textId="77777777" w:rsidR="00B83806" w:rsidRPr="002E32C5" w:rsidRDefault="00B83806" w:rsidP="00B83806">
            <w:pPr>
              <w:rPr>
                <w:bCs/>
                <w:szCs w:val="24"/>
                <w:lang w:val="en-US"/>
              </w:rPr>
            </w:pPr>
            <w:r w:rsidRPr="002E32C5">
              <w:rPr>
                <w:bCs/>
                <w:szCs w:val="24"/>
                <w:lang w:val="en-US"/>
              </w:rPr>
              <w:t xml:space="preserve">Paragraph 120.2.1 of the Rules provides that in cases where the </w:t>
            </w:r>
            <w:r>
              <w:rPr>
                <w:bCs/>
                <w:szCs w:val="24"/>
                <w:lang w:val="en-US"/>
              </w:rPr>
              <w:t xml:space="preserve">nomination </w:t>
            </w:r>
            <w:r w:rsidRPr="002E32C5">
              <w:rPr>
                <w:bCs/>
                <w:szCs w:val="24"/>
                <w:lang w:val="en-US"/>
              </w:rPr>
              <w:t xml:space="preserve">submitted by the </w:t>
            </w:r>
            <w:r>
              <w:rPr>
                <w:bCs/>
                <w:szCs w:val="24"/>
                <w:lang w:val="en-US"/>
              </w:rPr>
              <w:t>network</w:t>
            </w:r>
            <w:r w:rsidRPr="002E32C5">
              <w:rPr>
                <w:bCs/>
                <w:szCs w:val="24"/>
                <w:lang w:val="en-US"/>
              </w:rPr>
              <w:t xml:space="preserve"> user is equal to or less than the technical capacity after </w:t>
            </w:r>
            <w:r>
              <w:rPr>
                <w:bCs/>
                <w:szCs w:val="24"/>
                <w:lang w:val="en-US"/>
              </w:rPr>
              <w:t>restrictions</w:t>
            </w:r>
            <w:r w:rsidRPr="002E32C5">
              <w:rPr>
                <w:bCs/>
                <w:szCs w:val="24"/>
                <w:lang w:val="en-US"/>
              </w:rPr>
              <w:t xml:space="preserve">, no compensation shall be calculated because the system user was able to nominate the </w:t>
            </w:r>
            <w:r>
              <w:rPr>
                <w:bCs/>
                <w:szCs w:val="24"/>
                <w:lang w:val="en-US"/>
              </w:rPr>
              <w:t>needed</w:t>
            </w:r>
            <w:r w:rsidRPr="002E32C5">
              <w:rPr>
                <w:bCs/>
                <w:szCs w:val="24"/>
                <w:lang w:val="en-US"/>
              </w:rPr>
              <w:t xml:space="preserve"> volume, except for the situation foreseen in paragraph 120.2.3 where the </w:t>
            </w:r>
            <w:r>
              <w:rPr>
                <w:bCs/>
                <w:szCs w:val="24"/>
                <w:lang w:val="en-US"/>
              </w:rPr>
              <w:t xml:space="preserve">nomination </w:t>
            </w:r>
            <w:r w:rsidRPr="002E32C5">
              <w:rPr>
                <w:bCs/>
                <w:szCs w:val="24"/>
                <w:lang w:val="en-US"/>
              </w:rPr>
              <w:t xml:space="preserve">submitted is </w:t>
            </w:r>
            <w:r>
              <w:rPr>
                <w:bCs/>
                <w:szCs w:val="24"/>
                <w:lang w:val="en-US"/>
              </w:rPr>
              <w:t>reduced</w:t>
            </w:r>
            <w:r w:rsidRPr="002E32C5">
              <w:rPr>
                <w:bCs/>
                <w:szCs w:val="24"/>
                <w:lang w:val="en-US"/>
              </w:rPr>
              <w:t xml:space="preserve">. In this case, compensation shall be calculated in accordance with </w:t>
            </w:r>
            <w:r>
              <w:rPr>
                <w:bCs/>
                <w:szCs w:val="24"/>
                <w:lang w:val="en-US"/>
              </w:rPr>
              <w:t>paragraph</w:t>
            </w:r>
            <w:r w:rsidRPr="002E32C5">
              <w:rPr>
                <w:bCs/>
                <w:szCs w:val="24"/>
                <w:lang w:val="en-US"/>
              </w:rPr>
              <w:t xml:space="preserve"> 120.2.3 of the Rules. </w:t>
            </w:r>
          </w:p>
          <w:p w14:paraId="42A491DD" w14:textId="77777777" w:rsidR="00B83806" w:rsidRPr="002E32C5" w:rsidRDefault="00B83806" w:rsidP="00B83806">
            <w:pPr>
              <w:rPr>
                <w:bCs/>
                <w:szCs w:val="24"/>
                <w:lang w:val="en-US"/>
              </w:rPr>
            </w:pPr>
            <w:r w:rsidRPr="002E32C5">
              <w:rPr>
                <w:bCs/>
                <w:szCs w:val="24"/>
                <w:lang w:val="en-US"/>
              </w:rPr>
              <w:t xml:space="preserve">Paragraph 120.2.2 of the Rules provides that in cases where (1) the </w:t>
            </w:r>
            <w:r>
              <w:rPr>
                <w:bCs/>
                <w:szCs w:val="24"/>
                <w:lang w:val="en-US"/>
              </w:rPr>
              <w:t>nomination</w:t>
            </w:r>
            <w:r w:rsidRPr="002E32C5">
              <w:rPr>
                <w:bCs/>
                <w:szCs w:val="24"/>
                <w:lang w:val="en-US"/>
              </w:rPr>
              <w:t xml:space="preserve"> submitted by the </w:t>
            </w:r>
            <w:r>
              <w:rPr>
                <w:bCs/>
                <w:szCs w:val="24"/>
                <w:lang w:val="en-US"/>
              </w:rPr>
              <w:t>network</w:t>
            </w:r>
            <w:r w:rsidRPr="002E32C5">
              <w:rPr>
                <w:bCs/>
                <w:szCs w:val="24"/>
                <w:lang w:val="en-US"/>
              </w:rPr>
              <w:t xml:space="preserve"> user is equal to the technical capacity after </w:t>
            </w:r>
            <w:r>
              <w:rPr>
                <w:bCs/>
                <w:szCs w:val="24"/>
                <w:lang w:val="en-US"/>
              </w:rPr>
              <w:t>restrictions</w:t>
            </w:r>
            <w:r w:rsidRPr="002E32C5">
              <w:rPr>
                <w:bCs/>
                <w:szCs w:val="24"/>
                <w:lang w:val="en-US"/>
              </w:rPr>
              <w:t xml:space="preserve">, </w:t>
            </w:r>
            <w:r w:rsidRPr="00AF5533">
              <w:rPr>
                <w:b/>
                <w:szCs w:val="24"/>
                <w:u w:val="single"/>
                <w:lang w:val="en-US"/>
              </w:rPr>
              <w:t>and</w:t>
            </w:r>
            <w:r w:rsidRPr="002E32C5">
              <w:rPr>
                <w:bCs/>
                <w:szCs w:val="24"/>
                <w:lang w:val="en-US"/>
              </w:rPr>
              <w:t xml:space="preserve"> (2) the firm capacity booked by the </w:t>
            </w:r>
            <w:r>
              <w:rPr>
                <w:bCs/>
                <w:szCs w:val="24"/>
                <w:lang w:val="en-US"/>
              </w:rPr>
              <w:t>network</w:t>
            </w:r>
            <w:r w:rsidRPr="002E32C5">
              <w:rPr>
                <w:bCs/>
                <w:szCs w:val="24"/>
                <w:lang w:val="en-US"/>
              </w:rPr>
              <w:t xml:space="preserve"> user exceeds the technical capacity after </w:t>
            </w:r>
            <w:r>
              <w:rPr>
                <w:bCs/>
                <w:szCs w:val="24"/>
                <w:lang w:val="en-US"/>
              </w:rPr>
              <w:t>restrictions</w:t>
            </w:r>
            <w:r w:rsidRPr="002E32C5">
              <w:rPr>
                <w:bCs/>
                <w:szCs w:val="24"/>
                <w:lang w:val="en-US"/>
              </w:rPr>
              <w:t xml:space="preserve">, compensation shall be calculated for the part of the booked capacity which exceeds the technical capacity after </w:t>
            </w:r>
            <w:r>
              <w:rPr>
                <w:bCs/>
                <w:szCs w:val="24"/>
                <w:lang w:val="en-US"/>
              </w:rPr>
              <w:t>restrictions</w:t>
            </w:r>
            <w:r w:rsidRPr="002E32C5">
              <w:rPr>
                <w:bCs/>
                <w:szCs w:val="24"/>
                <w:lang w:val="en-US"/>
              </w:rPr>
              <w:t>.</w:t>
            </w:r>
          </w:p>
          <w:p w14:paraId="3E7CA593" w14:textId="03887901" w:rsidR="00B83806" w:rsidRPr="002E32C5" w:rsidRDefault="00297A8D" w:rsidP="00B83806">
            <w:pPr>
              <w:rPr>
                <w:bCs/>
                <w:szCs w:val="24"/>
                <w:lang w:val="en-US"/>
              </w:rPr>
            </w:pPr>
            <w:r w:rsidRPr="00297A8D">
              <w:rPr>
                <w:bCs/>
                <w:szCs w:val="24"/>
                <w:lang w:val="en-US"/>
              </w:rPr>
              <w:t xml:space="preserve">To ensure clarity, </w:t>
            </w:r>
            <w:r>
              <w:rPr>
                <w:bCs/>
                <w:szCs w:val="24"/>
                <w:lang w:val="en-US"/>
              </w:rPr>
              <w:t>paragraph</w:t>
            </w:r>
            <w:r w:rsidRPr="00297A8D">
              <w:rPr>
                <w:bCs/>
                <w:szCs w:val="24"/>
                <w:lang w:val="en-US"/>
              </w:rPr>
              <w:t xml:space="preserve"> 120.2.1 of the </w:t>
            </w:r>
            <w:r>
              <w:rPr>
                <w:bCs/>
                <w:szCs w:val="24"/>
                <w:lang w:val="en-US"/>
              </w:rPr>
              <w:t>R</w:t>
            </w:r>
            <w:r w:rsidRPr="00297A8D">
              <w:rPr>
                <w:bCs/>
                <w:szCs w:val="24"/>
                <w:lang w:val="en-US"/>
              </w:rPr>
              <w:t>ules is amended and reformulated as follows</w:t>
            </w:r>
            <w:r w:rsidR="00B83806" w:rsidRPr="002E32C5">
              <w:rPr>
                <w:bCs/>
                <w:szCs w:val="24"/>
                <w:lang w:val="en-US"/>
              </w:rPr>
              <w:t>:</w:t>
            </w:r>
          </w:p>
          <w:p w14:paraId="02A64623" w14:textId="43168734" w:rsidR="00B83806" w:rsidRPr="002E32C5" w:rsidRDefault="00B83806" w:rsidP="00B83806">
            <w:pPr>
              <w:rPr>
                <w:b/>
                <w:szCs w:val="24"/>
              </w:rPr>
            </w:pPr>
            <w:r w:rsidRPr="002E32C5">
              <w:rPr>
                <w:bCs/>
                <w:szCs w:val="24"/>
                <w:lang w:val="en-US"/>
              </w:rPr>
              <w:t xml:space="preserve">"120.2.1. </w:t>
            </w:r>
            <w:r w:rsidR="00106153" w:rsidRPr="00106153">
              <w:rPr>
                <w:bCs/>
                <w:szCs w:val="24"/>
                <w:lang w:val="en-US"/>
              </w:rPr>
              <w:t xml:space="preserve">If the nomination submitted by the Network User is less than or equal to the technical capacity of the connection point after the restriction, </w:t>
            </w:r>
            <w:r w:rsidR="00D46781" w:rsidRPr="00106153">
              <w:rPr>
                <w:bCs/>
                <w:szCs w:val="24"/>
                <w:lang w:val="en-US"/>
              </w:rPr>
              <w:t>and when</w:t>
            </w:r>
            <w:r w:rsidR="00106153" w:rsidRPr="00106153">
              <w:rPr>
                <w:bCs/>
                <w:szCs w:val="24"/>
                <w:lang w:val="en-US"/>
              </w:rPr>
              <w:t xml:space="preserve"> the Network User’s booked firm transmission capacities do not exceed the technical capacity of the connection point after the restriction, </w:t>
            </w:r>
            <w:r w:rsidR="00106153" w:rsidRPr="00106153">
              <w:rPr>
                <w:bCs/>
                <w:szCs w:val="24"/>
                <w:lang w:val="en-US"/>
              </w:rPr>
              <w:lastRenderedPageBreak/>
              <w:t>the refundable amount is not calculated, except for the situation specified in Paragraph 120.2.3</w:t>
            </w:r>
            <w:r w:rsidR="00D46781">
              <w:rPr>
                <w:bCs/>
                <w:szCs w:val="24"/>
                <w:lang w:val="en-US"/>
              </w:rPr>
              <w:t>.</w:t>
            </w:r>
            <w:r w:rsidRPr="002E32C5">
              <w:rPr>
                <w:bCs/>
                <w:szCs w:val="24"/>
                <w:lang w:val="en-US"/>
              </w:rPr>
              <w:t>"</w:t>
            </w:r>
          </w:p>
        </w:tc>
      </w:tr>
      <w:tr w:rsidR="00B83806" w:rsidRPr="00DF11F5" w14:paraId="4C4EEB5C" w14:textId="77777777" w:rsidTr="00846AD3">
        <w:tc>
          <w:tcPr>
            <w:tcW w:w="713" w:type="dxa"/>
          </w:tcPr>
          <w:p w14:paraId="6AE4A7D7"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617E2303" w14:textId="150C000A" w:rsidR="007235B7" w:rsidRPr="007235B7" w:rsidRDefault="007235B7" w:rsidP="007235B7">
            <w:pPr>
              <w:rPr>
                <w:bCs/>
                <w:lang w:val="en-US"/>
              </w:rPr>
            </w:pPr>
            <w:r w:rsidRPr="007235B7">
              <w:rPr>
                <w:bCs/>
                <w:lang w:val="en-US"/>
              </w:rPr>
              <w:t>We also seek clarification regarding the regulation, which, although already present in the Rules, stipulates that the Network User shall only be exempted from the obligation to pay for firm transmission capacity if the limitation of firm transmission capacity lasts for more than 14 days per gas year, and only for the applied limitations exceeding 14 days per gas year.</w:t>
            </w:r>
          </w:p>
          <w:p w14:paraId="3F120A60" w14:textId="77777777" w:rsidR="007235B7" w:rsidRPr="007235B7" w:rsidRDefault="007235B7" w:rsidP="007235B7">
            <w:pPr>
              <w:rPr>
                <w:bCs/>
                <w:lang w:val="en-US"/>
              </w:rPr>
            </w:pPr>
          </w:p>
          <w:p w14:paraId="6107C4A9" w14:textId="3224C803" w:rsidR="00B83806" w:rsidRPr="00B83806" w:rsidRDefault="007235B7" w:rsidP="007235B7">
            <w:pPr>
              <w:rPr>
                <w:bCs/>
                <w:lang w:val="en-US"/>
              </w:rPr>
            </w:pPr>
            <w:r w:rsidRPr="007235B7">
              <w:rPr>
                <w:bCs/>
                <w:lang w:val="en-US"/>
              </w:rPr>
              <w:t>As we have previously explained, Network Users should be exempted from the obligation to pay for firm transmission capacity for any period during which the TSO does not provide the service, regardless of the reasons for the restrictions. When the service is not being provided, there is no basis for charging the service users. To our knowledge, such a limited number of exempt days is not applied at other interconnection points of transmission systems.</w:t>
            </w:r>
          </w:p>
        </w:tc>
        <w:tc>
          <w:tcPr>
            <w:tcW w:w="7226" w:type="dxa"/>
          </w:tcPr>
          <w:p w14:paraId="46E0C856" w14:textId="77777777" w:rsidR="00670B3F" w:rsidRDefault="00FE0DAF" w:rsidP="00EE497C">
            <w:pPr>
              <w:rPr>
                <w:bCs/>
                <w:szCs w:val="24"/>
              </w:rPr>
            </w:pPr>
            <w:r w:rsidRPr="00FA29A8">
              <w:rPr>
                <w:bCs/>
                <w:szCs w:val="24"/>
              </w:rPr>
              <w:t>Gamtinių dujų perdavimo sistemos priežiūros (remonto, rekonstrukcijos, naujų dujų sistemų prijungimo) darbai yra neatskiriama visų gamtinių dujų perdavimo sistemos operatorių veiklos dalis, būtina užtikrinti patikimą ir saugų perdavimo paslaugų teikimą. Europos Sąjungoje įprastai yra taikoma praktika, kai perdavimo sistemų operatoriams nėra taikoma atsakomybė už priežiūros laikotarpiu apribotas galimybes pasinaudoti gamtinių dujų perdavimo sistema, taip pat numatant pareigą sistemos naudotojams pilnai apmokėti už užsakytus gamtinių dujų perdavimo pajėgumus ribojimo laikotarpiu.</w:t>
            </w:r>
            <w:r w:rsidR="00EE497C">
              <w:rPr>
                <w:bCs/>
                <w:szCs w:val="24"/>
              </w:rPr>
              <w:t xml:space="preserve"> </w:t>
            </w:r>
          </w:p>
          <w:p w14:paraId="04A44B98" w14:textId="29052ECA" w:rsidR="00EE497C" w:rsidRDefault="00EE497C" w:rsidP="00EE497C">
            <w:r>
              <w:rPr>
                <w:bCs/>
                <w:szCs w:val="24"/>
              </w:rPr>
              <w:t>P</w:t>
            </w:r>
            <w:r w:rsidRPr="0012634B">
              <w:t>abrėžtina, kad Bendrovė visada planuoja darbus taip, kad būtų kuo mažiau apribota galimybė pasinaudoti perdavimo sistema.</w:t>
            </w:r>
            <w:r>
              <w:t xml:space="preserve"> Taip pat pažymėtina, kad perdavimo sistemos operatoriams nėra nustatyta pareiga užtikrinti nepertraukiamą gamtinių dujų tiekimą tais atvejais kai yra atliekami sistemos priežiūros darbai. Teisės aktai nustato pareigą laiku ir tinkamai informuoti visus rinkos dalyvius apie planuojamus sistemos priežiūros darbus, bei pareigą dėti pastangas, kad sistemos priežiūros darbai kaip galima mažiau įtakotų perdavimo paslaugų teikimą. </w:t>
            </w:r>
          </w:p>
          <w:p w14:paraId="1D9B39A8" w14:textId="77777777" w:rsidR="00EE497C" w:rsidRDefault="00EE497C" w:rsidP="00B83806">
            <w:pPr>
              <w:rPr>
                <w:bCs/>
                <w:szCs w:val="24"/>
              </w:rPr>
            </w:pPr>
          </w:p>
          <w:p w14:paraId="14FEE670" w14:textId="77777777" w:rsidR="00670B3F" w:rsidRDefault="00724123" w:rsidP="00724123">
            <w:pPr>
              <w:rPr>
                <w:bCs/>
                <w:szCs w:val="24"/>
                <w:lang w:val="en-US"/>
              </w:rPr>
            </w:pPr>
            <w:r w:rsidRPr="00724123">
              <w:rPr>
                <w:bCs/>
                <w:szCs w:val="24"/>
                <w:lang w:val="en-US"/>
              </w:rPr>
              <w:t xml:space="preserve">Maintenance (repair, reconstruction, connection of new gas systems) of the natural gas transmission system is an integral part of the activities of </w:t>
            </w:r>
            <w:proofErr w:type="gramStart"/>
            <w:r w:rsidRPr="00724123">
              <w:rPr>
                <w:bCs/>
                <w:szCs w:val="24"/>
                <w:lang w:val="en-US"/>
              </w:rPr>
              <w:t>all natural</w:t>
            </w:r>
            <w:proofErr w:type="gramEnd"/>
            <w:r w:rsidRPr="00724123">
              <w:rPr>
                <w:bCs/>
                <w:szCs w:val="24"/>
                <w:lang w:val="en-US"/>
              </w:rPr>
              <w:t xml:space="preserve"> gas transmission system operators, and is necessary to ensure the reliable and safe provision of transmission services. It is common practice in the European Union for transmission system operators not to be held liable for limiting access to the natural gas transmission system during the maintenance period, including by imposing an obligation on system users to pay in full for the natural gas transmission capacity ordered during the period of limitation. </w:t>
            </w:r>
          </w:p>
          <w:p w14:paraId="0210746B" w14:textId="387253A0" w:rsidR="00724123" w:rsidRPr="00724123" w:rsidRDefault="00724123" w:rsidP="00724123">
            <w:pPr>
              <w:rPr>
                <w:bCs/>
                <w:szCs w:val="24"/>
                <w:lang w:val="en-US"/>
              </w:rPr>
            </w:pPr>
            <w:r w:rsidRPr="00724123">
              <w:rPr>
                <w:bCs/>
                <w:szCs w:val="24"/>
                <w:lang w:val="en-US"/>
              </w:rPr>
              <w:t xml:space="preserve">It should be stressed that the </w:t>
            </w:r>
            <w:r w:rsidR="00103134">
              <w:rPr>
                <w:bCs/>
                <w:szCs w:val="24"/>
                <w:lang w:val="en-US"/>
              </w:rPr>
              <w:t>Amber Grid</w:t>
            </w:r>
            <w:r w:rsidRPr="00724123">
              <w:rPr>
                <w:bCs/>
                <w:szCs w:val="24"/>
                <w:lang w:val="en-US"/>
              </w:rPr>
              <w:t xml:space="preserve"> always plans its works in such a way as to </w:t>
            </w:r>
            <w:r w:rsidR="00103134" w:rsidRPr="00724123">
              <w:rPr>
                <w:bCs/>
                <w:szCs w:val="24"/>
                <w:lang w:val="en-US"/>
              </w:rPr>
              <w:t>minimize</w:t>
            </w:r>
            <w:r w:rsidRPr="00724123">
              <w:rPr>
                <w:bCs/>
                <w:szCs w:val="24"/>
                <w:lang w:val="en-US"/>
              </w:rPr>
              <w:t xml:space="preserve"> the restriction of access to the transmission system. It should also be noted that there is no obligation for transmission system </w:t>
            </w:r>
            <w:r w:rsidRPr="00724123">
              <w:rPr>
                <w:bCs/>
                <w:szCs w:val="24"/>
                <w:lang w:val="en-US"/>
              </w:rPr>
              <w:lastRenderedPageBreak/>
              <w:t>operators to ensure the uninterrupted supply of natural gas in the event of system maintenance. The legislation imposes an obligation to inform all market participants in a timely and appropriate manner of planned system maintenance and to make efforts to ensure that the system maintenance works have the least possible impact on the provision of transmission services.</w:t>
            </w:r>
          </w:p>
        </w:tc>
      </w:tr>
      <w:tr w:rsidR="00B83806" w:rsidRPr="00C96DC7" w14:paraId="42A59DFA" w14:textId="77777777" w:rsidTr="00846AD3">
        <w:tc>
          <w:tcPr>
            <w:tcW w:w="713" w:type="dxa"/>
          </w:tcPr>
          <w:p w14:paraId="0BE35CB7" w14:textId="77777777" w:rsidR="00B83806" w:rsidRPr="00C96DC7" w:rsidRDefault="00B83806" w:rsidP="00B83806">
            <w:pPr>
              <w:pStyle w:val="ListParagraph"/>
              <w:numPr>
                <w:ilvl w:val="0"/>
                <w:numId w:val="3"/>
              </w:numPr>
              <w:spacing w:before="0" w:beforeAutospacing="0" w:after="0" w:afterAutospacing="0"/>
              <w:rPr>
                <w:b/>
              </w:rPr>
            </w:pPr>
          </w:p>
        </w:tc>
        <w:tc>
          <w:tcPr>
            <w:tcW w:w="14483" w:type="dxa"/>
            <w:gridSpan w:val="3"/>
          </w:tcPr>
          <w:p w14:paraId="2C689194" w14:textId="550686C6" w:rsidR="00B83806" w:rsidRPr="00EB1014" w:rsidRDefault="00F23988" w:rsidP="00B83806">
            <w:pPr>
              <w:jc w:val="left"/>
              <w:rPr>
                <w:b/>
                <w:szCs w:val="24"/>
              </w:rPr>
            </w:pPr>
            <w:r w:rsidRPr="00F23988">
              <w:rPr>
                <w:b/>
                <w:szCs w:val="24"/>
              </w:rPr>
              <w:t>AB „Ignitis gamyba“</w:t>
            </w:r>
          </w:p>
        </w:tc>
      </w:tr>
      <w:tr w:rsidR="00B83806" w:rsidRPr="00C96DC7" w14:paraId="4C690CCE" w14:textId="77777777" w:rsidTr="00846AD3">
        <w:tc>
          <w:tcPr>
            <w:tcW w:w="713" w:type="dxa"/>
          </w:tcPr>
          <w:p w14:paraId="66AA5709"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13127EAF" w14:textId="77777777" w:rsidR="008D198C" w:rsidRPr="008D198C" w:rsidRDefault="008D198C" w:rsidP="008D198C">
            <w:pPr>
              <w:rPr>
                <w:bCs/>
                <w:szCs w:val="24"/>
              </w:rPr>
            </w:pPr>
            <w:r w:rsidRPr="008D198C">
              <w:rPr>
                <w:bCs/>
                <w:szCs w:val="24"/>
              </w:rPr>
              <w:t>Bendrovės vertinimu, siekiant sumažinti sistemos naudotojų ir perdavimo sistemos operatoriaus (PSO) nuostolius, tais atvejais, kai PSO atliekami gamtinių dujų perdavimo sistemos remonto darbai gali turėti įtakos sistemos naudotojų, prijungtų tiesiogiai prie dujų skirstymo stoties (DSS), veiklai, būtų svarbu, kad PSO iš anksto suderintų planuojamus remonto darbus su tokiais sistemos naudotojais.</w:t>
            </w:r>
          </w:p>
          <w:p w14:paraId="4792B4D9" w14:textId="77777777" w:rsidR="008D198C" w:rsidRPr="008D198C" w:rsidRDefault="008D198C" w:rsidP="008D198C">
            <w:pPr>
              <w:rPr>
                <w:bCs/>
                <w:szCs w:val="24"/>
              </w:rPr>
            </w:pPr>
            <w:r w:rsidRPr="008D198C">
              <w:rPr>
                <w:bCs/>
                <w:szCs w:val="24"/>
              </w:rPr>
              <w:t>Be to, PSO 2024-09-30 rašte, siųstame Bendrovei, yra pažymėjęs, jog PSO, siekdama tarp įmonių suderinti remonto darbų datas, nuo 2025 metų sekančių metų perdavimo sistemos remonto darbų, kurie gali turėti įtakos gamtinių dujų perdavimui per Elektrėnų DSS, informaciją derinimui planuoja teikti birželio-rugpjūčio mėnesiais.</w:t>
            </w:r>
          </w:p>
          <w:p w14:paraId="6230C84A" w14:textId="77777777" w:rsidR="008D198C" w:rsidRPr="008D198C" w:rsidRDefault="008D198C" w:rsidP="008D198C">
            <w:pPr>
              <w:rPr>
                <w:bCs/>
                <w:szCs w:val="24"/>
              </w:rPr>
            </w:pPr>
            <w:r w:rsidRPr="008D198C">
              <w:rPr>
                <w:bCs/>
                <w:szCs w:val="24"/>
              </w:rPr>
              <w:t>Siekiant teisinio apibrėžtumo, Bendrovė siūlo Taisyklių projektą papildyti nuostata, apibrėžiančia PSO planuojamų sistemos remonto darbų derinimo su sistemos naudotojais, prijungtais prie DSS, tvarką. Bendrovės vertinimu, tai padėtų PSO ir sistemos naudotojams susiderinti numatomų atlikti remonto darbų grafikus taip, kad PSO ir sistemos naudotojo numatomų remonto darbų datos sutaptų ir kuo mažiau turėtų įtakos PSO ir sistemos naudotojų veiklai dėl gamtinių dujų perdavimo ribojimo ar gamtinių dujų nutraukimo.</w:t>
            </w:r>
          </w:p>
          <w:p w14:paraId="673F2598" w14:textId="70C05032" w:rsidR="00165CC3" w:rsidRPr="00165CC3" w:rsidRDefault="00F77E79" w:rsidP="00165CC3">
            <w:pPr>
              <w:rPr>
                <w:bCs/>
                <w:szCs w:val="24"/>
              </w:rPr>
            </w:pPr>
            <w:r>
              <w:rPr>
                <w:bCs/>
                <w:szCs w:val="24"/>
              </w:rPr>
              <w:t xml:space="preserve">Bendrovės siūlymas </w:t>
            </w:r>
            <w:proofErr w:type="spellStart"/>
            <w:r w:rsidR="00165CC3" w:rsidRPr="00165CC3">
              <w:rPr>
                <w:bCs/>
                <w:szCs w:val="24"/>
              </w:rPr>
              <w:t>apildyti</w:t>
            </w:r>
            <w:proofErr w:type="spellEnd"/>
            <w:r w:rsidR="00165CC3" w:rsidRPr="00165CC3">
              <w:rPr>
                <w:bCs/>
                <w:szCs w:val="24"/>
              </w:rPr>
              <w:t xml:space="preserve"> Taisyklių projektą nauju 177.1 punktu:</w:t>
            </w:r>
          </w:p>
          <w:p w14:paraId="7C922D07" w14:textId="77777777" w:rsidR="00165CC3" w:rsidRPr="00165CC3" w:rsidRDefault="00165CC3" w:rsidP="00165CC3">
            <w:pPr>
              <w:rPr>
                <w:bCs/>
                <w:szCs w:val="24"/>
              </w:rPr>
            </w:pPr>
          </w:p>
          <w:p w14:paraId="0ED66C91" w14:textId="77777777" w:rsidR="00165CC3" w:rsidRPr="00165CC3" w:rsidRDefault="00165CC3" w:rsidP="00165CC3">
            <w:pPr>
              <w:rPr>
                <w:bCs/>
                <w:szCs w:val="24"/>
              </w:rPr>
            </w:pPr>
            <w:r w:rsidRPr="00165CC3">
              <w:rPr>
                <w:bCs/>
                <w:szCs w:val="24"/>
              </w:rPr>
              <w:t>„</w:t>
            </w:r>
            <w:r w:rsidRPr="009E32BE">
              <w:rPr>
                <w:b/>
                <w:szCs w:val="24"/>
              </w:rPr>
              <w:t xml:space="preserve">177.1. PSO kiekvienais metais iki liepos 31 d. su sistemos naudotoju, kuris prijungtas tiesiogiai prie dujų skirstymo stoties (DSS), derina ateinančiais metais planuojamų atlikti dujų perdavimo sistemos statybos, rekonstravimo, remonto darbų, kurie gali turėti įtakos </w:t>
            </w:r>
            <w:r w:rsidRPr="009E32BE">
              <w:rPr>
                <w:b/>
                <w:szCs w:val="24"/>
              </w:rPr>
              <w:lastRenderedPageBreak/>
              <w:t>sistemos naudotojo veiklai dėl gamtinių dujų perdavimo ribojimo ar gamtinių dujų nutraukimo sistemos naudotojui, grafiką.</w:t>
            </w:r>
            <w:r w:rsidRPr="00165CC3">
              <w:rPr>
                <w:bCs/>
                <w:szCs w:val="24"/>
              </w:rPr>
              <w:t>”</w:t>
            </w:r>
          </w:p>
          <w:p w14:paraId="530FB670" w14:textId="77777777" w:rsidR="00165CC3" w:rsidRPr="00165CC3" w:rsidRDefault="00165CC3" w:rsidP="00165CC3">
            <w:pPr>
              <w:rPr>
                <w:bCs/>
                <w:szCs w:val="24"/>
              </w:rPr>
            </w:pPr>
          </w:p>
          <w:p w14:paraId="5B536CE0" w14:textId="1CD6D6A2" w:rsidR="008D198C" w:rsidRPr="008D198C" w:rsidRDefault="00165CC3" w:rsidP="00165CC3">
            <w:pPr>
              <w:rPr>
                <w:bCs/>
                <w:szCs w:val="24"/>
              </w:rPr>
            </w:pPr>
            <w:r w:rsidRPr="00165CC3">
              <w:rPr>
                <w:bCs/>
                <w:szCs w:val="24"/>
              </w:rPr>
              <w:t>Taisyklių projektą papildžius nauju 177.1 punktu, atitinkamai pakeisti tolimesnę Taisyklių projekto nuostatų numeraciją.</w:t>
            </w:r>
          </w:p>
          <w:p w14:paraId="2FD9DE98" w14:textId="5D0AF2FB" w:rsidR="00B83806" w:rsidRPr="008D198C" w:rsidRDefault="00B83806" w:rsidP="00B83806">
            <w:pPr>
              <w:rPr>
                <w:bCs/>
                <w:szCs w:val="24"/>
              </w:rPr>
            </w:pPr>
          </w:p>
        </w:tc>
        <w:tc>
          <w:tcPr>
            <w:tcW w:w="7226" w:type="dxa"/>
          </w:tcPr>
          <w:p w14:paraId="59C22A62" w14:textId="775298B6" w:rsidR="00B83806" w:rsidRDefault="00F91CF0" w:rsidP="00B83806">
            <w:pPr>
              <w:jc w:val="left"/>
              <w:rPr>
                <w:b/>
                <w:szCs w:val="24"/>
              </w:rPr>
            </w:pPr>
            <w:r>
              <w:rPr>
                <w:b/>
                <w:szCs w:val="24"/>
              </w:rPr>
              <w:lastRenderedPageBreak/>
              <w:t>Neatsižvelgta</w:t>
            </w:r>
          </w:p>
          <w:p w14:paraId="598BA6D5" w14:textId="62D850DB" w:rsidR="00B83806" w:rsidRDefault="00B83806" w:rsidP="00B83806">
            <w:pPr>
              <w:jc w:val="left"/>
              <w:rPr>
                <w:b/>
                <w:szCs w:val="24"/>
              </w:rPr>
            </w:pPr>
          </w:p>
          <w:p w14:paraId="543D3D64" w14:textId="7B9F39EA" w:rsidR="00B83806" w:rsidRPr="00BD28D9" w:rsidRDefault="00AD40E7" w:rsidP="00DD4150">
            <w:r>
              <w:t xml:space="preserve">Bendrovė </w:t>
            </w:r>
            <w:r w:rsidR="001E0C3E">
              <w:t xml:space="preserve">vykdydama perdavimo sistemos priežiūros darbus privalo vadovautis </w:t>
            </w:r>
            <w:r w:rsidR="00DD4150">
              <w:t xml:space="preserve">2011 m. spalio 25 d. Europos Parlamento ir Tarybos Reglamento </w:t>
            </w:r>
            <w:r w:rsidR="00207D41">
              <w:t>(ES) Nr. 1227/2011</w:t>
            </w:r>
            <w:r w:rsidR="00DD4150">
              <w:t xml:space="preserve"> </w:t>
            </w:r>
            <w:r w:rsidR="00207D41">
              <w:t>dėl didmeninės energijos rinkos vientisumo ir skaidrumo</w:t>
            </w:r>
            <w:r w:rsidR="00DD4150">
              <w:t xml:space="preserve"> </w:t>
            </w:r>
            <w:r w:rsidR="00113B34">
              <w:t xml:space="preserve">(toliau – REMIT reglamentas) </w:t>
            </w:r>
            <w:r w:rsidR="00DD4150">
              <w:t xml:space="preserve">nuostatomis ir </w:t>
            </w:r>
            <w:r w:rsidR="00421FBD">
              <w:t xml:space="preserve">viešai neatskleistą informaciją visiems rinkos dalyviams </w:t>
            </w:r>
            <w:r w:rsidR="00A76549">
              <w:t xml:space="preserve">atskleisti viešai ir vienu metu. Bendrovė </w:t>
            </w:r>
            <w:r w:rsidR="00F3276C">
              <w:t xml:space="preserve">renka informaciją apie planuojamus sistemos naudotojų ir gretimų dujų sistemų priežiūros darbus </w:t>
            </w:r>
            <w:r w:rsidR="00813F12">
              <w:t xml:space="preserve">ir siekia minimizuoti būtinybę riboti perdavimo paslaugas, tačiau atskirai derinti </w:t>
            </w:r>
            <w:r w:rsidR="00F64D22">
              <w:t xml:space="preserve">planuojamus remonto periodus su tam tikra viena rinkos dalyvių grupe negali. </w:t>
            </w:r>
          </w:p>
        </w:tc>
      </w:tr>
      <w:tr w:rsidR="00B83806" w:rsidRPr="00C96DC7" w14:paraId="53ED5528" w14:textId="77777777" w:rsidTr="00846AD3">
        <w:trPr>
          <w:trHeight w:val="164"/>
        </w:trPr>
        <w:tc>
          <w:tcPr>
            <w:tcW w:w="713" w:type="dxa"/>
          </w:tcPr>
          <w:p w14:paraId="759AE08D" w14:textId="77777777" w:rsidR="00B83806" w:rsidRPr="00C96DC7" w:rsidRDefault="00B83806" w:rsidP="00B83806">
            <w:pPr>
              <w:pStyle w:val="ListParagraph"/>
              <w:numPr>
                <w:ilvl w:val="0"/>
                <w:numId w:val="3"/>
              </w:numPr>
              <w:spacing w:before="0" w:beforeAutospacing="0" w:after="0" w:afterAutospacing="0"/>
              <w:rPr>
                <w:b/>
              </w:rPr>
            </w:pPr>
          </w:p>
        </w:tc>
        <w:tc>
          <w:tcPr>
            <w:tcW w:w="14483" w:type="dxa"/>
            <w:gridSpan w:val="3"/>
          </w:tcPr>
          <w:p w14:paraId="51A577AF" w14:textId="69FF77AA" w:rsidR="00B83806" w:rsidRPr="007B1F15" w:rsidRDefault="00BD651A" w:rsidP="00B83806">
            <w:pPr>
              <w:jc w:val="left"/>
              <w:rPr>
                <w:b/>
                <w:bCs/>
                <w:szCs w:val="24"/>
              </w:rPr>
            </w:pPr>
            <w:r w:rsidRPr="00BD651A">
              <w:rPr>
                <w:b/>
                <w:bCs/>
              </w:rPr>
              <w:t>UAB „IGNITIS“</w:t>
            </w:r>
          </w:p>
        </w:tc>
      </w:tr>
      <w:tr w:rsidR="00B83806" w:rsidRPr="00C96DC7" w14:paraId="6126DB1C" w14:textId="77777777" w:rsidTr="00846AD3">
        <w:tc>
          <w:tcPr>
            <w:tcW w:w="713" w:type="dxa"/>
          </w:tcPr>
          <w:p w14:paraId="52E8BE8A"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3BB86B48" w14:textId="7A52346B" w:rsidR="0046359B" w:rsidRDefault="0046359B" w:rsidP="0046359B">
            <w:r>
              <w:t xml:space="preserve">119. PSO neužtikrinus sistemos naudotojui nuolatinių perdavimo </w:t>
            </w:r>
          </w:p>
          <w:p w14:paraId="337466C1" w14:textId="77777777" w:rsidR="00B83806" w:rsidRDefault="0046359B" w:rsidP="00BD651A">
            <w:r>
              <w:t xml:space="preserve">pajėgumų, iš anksto </w:t>
            </w:r>
            <w:r w:rsidRPr="00C43B26">
              <w:rPr>
                <w:strike/>
              </w:rPr>
              <w:t>ribojimą suderinus ar nesuderinus su</w:t>
            </w:r>
            <w:r>
              <w:t xml:space="preserve"> </w:t>
            </w:r>
            <w:r w:rsidRPr="00C43B26">
              <w:rPr>
                <w:b/>
                <w:bCs/>
              </w:rPr>
              <w:t>neinformavus</w:t>
            </w:r>
            <w:r>
              <w:t xml:space="preserve"> sistemos </w:t>
            </w:r>
            <w:r w:rsidRPr="00C43B26">
              <w:rPr>
                <w:strike/>
              </w:rPr>
              <w:t>naudotoju</w:t>
            </w:r>
            <w:r>
              <w:t xml:space="preserve"> </w:t>
            </w:r>
            <w:r w:rsidRPr="00C43B26">
              <w:rPr>
                <w:b/>
                <w:bCs/>
              </w:rPr>
              <w:t>naudotojo</w:t>
            </w:r>
            <w:r>
              <w:t>, sistemos naudotojas PSO pateikia sąskaitą už nuolatinių perdavimo pajėgumų ribojimą. Sąskaita už nuolatinių perdavimo pajėgumų ribojimą per ataskaitinį laikotarpį pateikiama iki 7-os po ataskaitinio laikotarpio kalendorinės dienos.</w:t>
            </w:r>
          </w:p>
          <w:p w14:paraId="1AEF5918" w14:textId="77777777" w:rsidR="00274A18" w:rsidRDefault="00274A18" w:rsidP="00BD651A"/>
          <w:p w14:paraId="6FB00AD8" w14:textId="77777777" w:rsidR="00274A18" w:rsidRDefault="00274A18" w:rsidP="00BD651A">
            <w:r>
              <w:t>PSO neužtikrinus sistemos naudotojui nuolatinių perdavimo pajėgumų, pagrįsta rinkos dalyviui turėti lūkestį, kad Operatorius, turi įsipareigojimą nedelsiant atspindėti tokį faktą savo apskaitoje. Taisyklėse nurodyta sistemos naudotojo pareiga informuoti PSO apie tai, kad paslaugos teikėjas nesuteikė paslaugos ir pateikti atitinkamai sąskaitą už tokių pajėgumų ribojimą yra prieštaraujanti faktiškai susiklosčiusiai situacijai ir neturinti jokio pagrįsto poreikio. Toks pareigos perkėlimas Sistemos naudotojui vertintinas kaip PSO siekis negrąžinti mokesčio už nesuteiktą paslaugą, jei paslaugos gavėjas tokio grąžinimo nepaprašė, nors faktiškai sistemos naudotojas tokios paslaugos ir negavo. Be to, toks praktikos taikymas gali sukelti neigiamų pasekmių rinkoje, mažinant pasitikėjimą PSO veikla ir didinant administracinę naštą sistemos naudotojams. Tam, kad būtų užtikrintas skaidrumas ir teisingumas, PSO turėtų automatiškai atspindėti nesuteiktas paslaugas savo apskaitoje ir grąžinti atitinkamas lėšas be papildomų sistemos</w:t>
            </w:r>
            <w:r w:rsidR="00603266">
              <w:t xml:space="preserve"> naudotojo veiksmų. Be to, tai atitiktų Europos Sąjungos teisės aktų, reglamentuojančių energetikos sektoriaus veiklą, nuostatas, kurios reikalauja skaidrumo, sąžiningumo ir sąlygų </w:t>
            </w:r>
            <w:r w:rsidR="00603266">
              <w:lastRenderedPageBreak/>
              <w:t>proporcingumo. Atsižvelgiant į išdėstytą, Bendrovė prašo koreguoti punktą, atsižvelgiant į pastabą.</w:t>
            </w:r>
          </w:p>
          <w:p w14:paraId="546F00D2" w14:textId="77777777" w:rsidR="00603266" w:rsidRDefault="00603266" w:rsidP="00BD651A"/>
          <w:p w14:paraId="7FA2EAB7" w14:textId="27D52C25" w:rsidR="00603266" w:rsidRPr="00C96DC7" w:rsidRDefault="00603266" w:rsidP="00BD651A">
            <w:pPr>
              <w:rPr>
                <w:szCs w:val="24"/>
              </w:rPr>
            </w:pPr>
            <w:r>
              <w:t>Siūlytina koreguoti atsižvelgiant į pastabą.</w:t>
            </w:r>
          </w:p>
        </w:tc>
        <w:tc>
          <w:tcPr>
            <w:tcW w:w="7226" w:type="dxa"/>
          </w:tcPr>
          <w:p w14:paraId="5599B9F6" w14:textId="0AF2FD5E" w:rsidR="00B83806" w:rsidRPr="00055C25" w:rsidRDefault="00EE658E" w:rsidP="00B83806">
            <w:pPr>
              <w:rPr>
                <w:b/>
                <w:bCs/>
                <w:szCs w:val="24"/>
              </w:rPr>
            </w:pPr>
            <w:r>
              <w:rPr>
                <w:b/>
                <w:bCs/>
                <w:szCs w:val="24"/>
              </w:rPr>
              <w:lastRenderedPageBreak/>
              <w:t>A</w:t>
            </w:r>
            <w:r w:rsidR="00B83806" w:rsidRPr="00055C25">
              <w:rPr>
                <w:b/>
                <w:bCs/>
                <w:szCs w:val="24"/>
              </w:rPr>
              <w:t>tsižvelgta</w:t>
            </w:r>
          </w:p>
          <w:p w14:paraId="16EEC66E" w14:textId="77777777" w:rsidR="00B83806" w:rsidRDefault="00B83806" w:rsidP="00B83806">
            <w:pPr>
              <w:rPr>
                <w:szCs w:val="24"/>
              </w:rPr>
            </w:pPr>
          </w:p>
          <w:p w14:paraId="6AFA0119" w14:textId="77777777" w:rsidR="00B83806" w:rsidRDefault="004A7D66" w:rsidP="00B83806">
            <w:pPr>
              <w:rPr>
                <w:szCs w:val="24"/>
              </w:rPr>
            </w:pPr>
            <w:r>
              <w:rPr>
                <w:szCs w:val="24"/>
              </w:rPr>
              <w:t>Žiūrėti 2.1 pastabos vertinimą.</w:t>
            </w:r>
          </w:p>
          <w:p w14:paraId="3B80D15A" w14:textId="77777777" w:rsidR="004A7D66" w:rsidRDefault="004A7D66" w:rsidP="00B83806">
            <w:pPr>
              <w:rPr>
                <w:szCs w:val="24"/>
              </w:rPr>
            </w:pPr>
          </w:p>
          <w:p w14:paraId="19F82EC4" w14:textId="26EEACEE" w:rsidR="004A7D66" w:rsidRPr="00C96DC7" w:rsidRDefault="004A7D66" w:rsidP="00B83806">
            <w:pPr>
              <w:rPr>
                <w:szCs w:val="24"/>
              </w:rPr>
            </w:pPr>
          </w:p>
        </w:tc>
      </w:tr>
      <w:tr w:rsidR="00B83806" w:rsidRPr="00C96DC7" w14:paraId="75521D58" w14:textId="77777777" w:rsidTr="00846AD3">
        <w:tc>
          <w:tcPr>
            <w:tcW w:w="713" w:type="dxa"/>
          </w:tcPr>
          <w:p w14:paraId="2AB0AD12"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3365042E" w14:textId="77777777" w:rsidR="00B83806" w:rsidRDefault="004742AE" w:rsidP="00B83806">
            <w:r>
              <w:t xml:space="preserve">Taisyklių projekto 120 p. papildomas taip, jog Sistemos naudotojui mokestis už nesuteiktą paslaugą yra kompensuojamas tik tuo atveju, jei tai lemta PSO veiksmų. Tačiau tokia sąlyga neatitinka rinkoje esamos situacijos, kadangi Lietuvos gamtinių dujų perdavimo sistemoje tokie taškai kaip </w:t>
            </w:r>
            <w:proofErr w:type="spellStart"/>
            <w:r>
              <w:t>Kiemėnų</w:t>
            </w:r>
            <w:proofErr w:type="spellEnd"/>
            <w:r>
              <w:t xml:space="preserve"> DAS, yra valdomi dviejų sistemos operatorių – Lietuvos ir Latvijos. Tai reiškia, jog vienam iš operatorių atliekant remonto darbus, galimybės pasinaudoti perdavimo pajėgumais kito operatoriaus pusėje taip pat nebus. Tai reiškia, kad paslaugos šiame taške nėra suteikiamos tiek Lietuvos, tiek Latvijos PSO vykdant remonto darbus, už ką sistemos naudotojui privalo būti kompensuojama atitinkamai. Atkreiptinas dėmesys, kad Bendrovė nekvestionuoja Lietuvos PSO taisyklėse numatyto 14 dienų perdavimo pajėgumų ribojimo (Latvijos PSO kompensuoja už nesuteiktas paslaugas nuo pirmos ribojimų dienos), už kurį sistemos naudotojams nėra kompensuojama. Tačiau Bendrovė atkreipia dėmesį, kad PSO, pasibaigus kiekvienam ataskaitiniam laikotarpiui, </w:t>
            </w:r>
            <w:proofErr w:type="spellStart"/>
            <w:r>
              <w:t>t.y</w:t>
            </w:r>
            <w:proofErr w:type="spellEnd"/>
            <w:r>
              <w:t>. mėnesiui, turi įvertinti sistemos naudotojui kompensuotinas</w:t>
            </w:r>
            <w:r w:rsidR="00F41E30">
              <w:t xml:space="preserve"> sumas už nesuteiktas paslaugas (žr. pastabas Nr. 1 ir 6).</w:t>
            </w:r>
          </w:p>
          <w:p w14:paraId="4AB1D24A" w14:textId="77777777" w:rsidR="00F73B59" w:rsidRDefault="00F73B59" w:rsidP="00B83806"/>
          <w:p w14:paraId="6349A2D8" w14:textId="77777777" w:rsidR="0022567C" w:rsidRDefault="0022567C" w:rsidP="00B83806">
            <w:r>
              <w:t>Siūlomas pakeitimas</w:t>
            </w:r>
          </w:p>
          <w:p w14:paraId="034E60FD" w14:textId="0246035C" w:rsidR="00F73B59" w:rsidRPr="00C96DC7" w:rsidRDefault="00F73B59" w:rsidP="00B83806">
            <w:pPr>
              <w:rPr>
                <w:szCs w:val="24"/>
              </w:rPr>
            </w:pPr>
            <w:r>
              <w:t>120. Pajėgumų ribojimo atvejais, nurodytais XVIII SKYRIUS, PSO neprisiima atsakomybės ir atleidžiamas nuo įpareigojimo (pagal 119 punktą) sistemos naudotojams apmokėti dėl nuolatinių pajėgumų ribojimo galimai patirtus nuostolius. Sistemos naudotojas atleidžiamas nuo pareigos apmokėti už nuolatinius perdavimo pajėgumus tik tuo atveju, jei nuolatinių perdavimo pajėgumų ribojimas užtrunka ilgiau nei 14 dienų per dujų metus ir tik už pritaikytus ribojimus viršijant 14 dienų per dujų metus terminą</w:t>
            </w:r>
            <w:r w:rsidRPr="000B5C57">
              <w:rPr>
                <w:strike/>
              </w:rPr>
              <w:t>, kuriuos lėmė PSO veiksmai</w:t>
            </w:r>
            <w:r>
              <w:t xml:space="preserve">. Pasibaigus </w:t>
            </w:r>
            <w:r w:rsidRPr="000B5C57">
              <w:rPr>
                <w:strike/>
              </w:rPr>
              <w:t>dujų metams</w:t>
            </w:r>
            <w:r>
              <w:t xml:space="preserve"> </w:t>
            </w:r>
            <w:r w:rsidRPr="000B5C57">
              <w:rPr>
                <w:b/>
                <w:bCs/>
              </w:rPr>
              <w:t>ataskaitiniam mėnesiui</w:t>
            </w:r>
            <w:r>
              <w:t xml:space="preserve"> PSO, </w:t>
            </w:r>
            <w:r w:rsidRPr="00A939E2">
              <w:rPr>
                <w:b/>
                <w:bCs/>
              </w:rPr>
              <w:t xml:space="preserve">prieš pateikdamas sistemos naudotojui </w:t>
            </w:r>
            <w:r w:rsidRPr="00A939E2">
              <w:rPr>
                <w:b/>
                <w:bCs/>
              </w:rPr>
              <w:lastRenderedPageBreak/>
              <w:t>sąskaitą už perdavimo paslaugas</w:t>
            </w:r>
            <w:r>
              <w:t xml:space="preserve">, </w:t>
            </w:r>
            <w:r w:rsidRPr="00A939E2">
              <w:rPr>
                <w:strike/>
              </w:rPr>
              <w:t xml:space="preserve">ne vėliau nei per 20 dienų, </w:t>
            </w:r>
            <w:r>
              <w:t>kiekviename įleidimo ar išleidimo taške, kuriame nuolatinių perdavimo pajėgumų ribojimas užtruko ilgiau nei 14 dienų per</w:t>
            </w:r>
            <w:r w:rsidR="008432E9">
              <w:t xml:space="preserve"> dujų </w:t>
            </w:r>
            <w:r w:rsidR="008432E9" w:rsidRPr="008432E9">
              <w:rPr>
                <w:strike/>
              </w:rPr>
              <w:t>metus ir kuriuos lėmė PSO veiksmai</w:t>
            </w:r>
            <w:r w:rsidR="008432E9" w:rsidRPr="00556D88">
              <w:t>,</w:t>
            </w:r>
            <w:r w:rsidR="008432E9">
              <w:t xml:space="preserve"> atlieka šiuos veiksmus:</w:t>
            </w:r>
          </w:p>
        </w:tc>
        <w:tc>
          <w:tcPr>
            <w:tcW w:w="7226" w:type="dxa"/>
          </w:tcPr>
          <w:p w14:paraId="42B99C59" w14:textId="7B9C05CC" w:rsidR="00B83806" w:rsidRPr="00C62BA8" w:rsidRDefault="00EE658E" w:rsidP="00B83806">
            <w:pPr>
              <w:rPr>
                <w:b/>
                <w:szCs w:val="24"/>
              </w:rPr>
            </w:pPr>
            <w:r>
              <w:rPr>
                <w:b/>
                <w:szCs w:val="24"/>
              </w:rPr>
              <w:lastRenderedPageBreak/>
              <w:t>Atsižvelgta iš dalies</w:t>
            </w:r>
          </w:p>
          <w:p w14:paraId="28813FEE" w14:textId="77777777" w:rsidR="00556D88" w:rsidRDefault="00556D88" w:rsidP="00B83806">
            <w:pPr>
              <w:rPr>
                <w:bCs/>
                <w:szCs w:val="24"/>
              </w:rPr>
            </w:pPr>
          </w:p>
          <w:p w14:paraId="2579117A" w14:textId="77777777" w:rsidR="00EE658E" w:rsidRDefault="00EE658E" w:rsidP="00EE658E">
            <w:pPr>
              <w:tabs>
                <w:tab w:val="left" w:pos="5880"/>
              </w:tabs>
              <w:rPr>
                <w:bCs/>
                <w:szCs w:val="24"/>
              </w:rPr>
            </w:pPr>
            <w:r>
              <w:rPr>
                <w:bCs/>
                <w:szCs w:val="24"/>
              </w:rPr>
              <w:t xml:space="preserve">Bendrovės vertinimu pasirinktas kompensacijos mechanizmas, kai kompensacija paskaičiuojama pasibaigus metams, atitinka šiuo metu taikomą praktiką. Kaip pavyzdžiui, mokėjimas už vartojimo pajėgumų viršijimą yra apskaičiuojamas tik pasibaigus metams, o ne po kiekvieno ataskaitinio laikotarpio. Svarbu pažymėti, kad papildomas kompensavimo poreikio vertinimas po kiekvieno ataskaitinio laikotarpio gali prailginti sąskaitų išrašymo terminą ir gali sąlygoti vėlesnius sąskaitų pateikimo laikotarpius. </w:t>
            </w:r>
          </w:p>
          <w:p w14:paraId="5C2CEC3B" w14:textId="77777777" w:rsidR="00EE658E" w:rsidRDefault="00EE658E" w:rsidP="00EE658E">
            <w:pPr>
              <w:tabs>
                <w:tab w:val="left" w:pos="5880"/>
              </w:tabs>
              <w:rPr>
                <w:bCs/>
                <w:szCs w:val="24"/>
              </w:rPr>
            </w:pPr>
          </w:p>
          <w:p w14:paraId="72894E19" w14:textId="304CE0B8" w:rsidR="00EE658E" w:rsidRDefault="00EE658E" w:rsidP="00EE658E">
            <w:pPr>
              <w:tabs>
                <w:tab w:val="left" w:pos="5880"/>
              </w:tabs>
              <w:rPr>
                <w:bCs/>
                <w:szCs w:val="24"/>
              </w:rPr>
            </w:pPr>
            <w:r>
              <w:rPr>
                <w:bCs/>
                <w:szCs w:val="24"/>
              </w:rPr>
              <w:t>Taisyklių 120 punkto antras sakinys patikslintas ir išdėstytas taip:</w:t>
            </w:r>
          </w:p>
          <w:p w14:paraId="02EFBAC9" w14:textId="1885F704" w:rsidR="00EE658E" w:rsidRPr="007C1188" w:rsidRDefault="00EE658E" w:rsidP="00EE658E">
            <w:pPr>
              <w:tabs>
                <w:tab w:val="left" w:pos="5880"/>
              </w:tabs>
              <w:rPr>
                <w:bCs/>
                <w:szCs w:val="24"/>
              </w:rPr>
            </w:pPr>
            <w:r>
              <w:rPr>
                <w:bCs/>
                <w:szCs w:val="24"/>
              </w:rPr>
              <w:t>„120. &lt;…</w:t>
            </w:r>
            <w:r w:rsidRPr="00696FC5">
              <w:rPr>
                <w:bCs/>
                <w:szCs w:val="24"/>
              </w:rPr>
              <w:t>. Sistemos naudotojas atleidžiamas nuo pareigos apmokėti už nuolatinius perdavimo pajėgumus tik tuo atveju, jei nuolatinių perdavimo pajėgumų ribojimas užtrunka ilgiau nei 14 dienų per dujų metus ir tik už pritaikytus ribojimus viršijant 14 dienų per dujų metus terminą</w:t>
            </w:r>
            <w:r w:rsidRPr="00696FC5">
              <w:rPr>
                <w:bCs/>
                <w:strike/>
                <w:szCs w:val="24"/>
              </w:rPr>
              <w:t>, kuriuos lėmė PSO veiksmai</w:t>
            </w:r>
            <w:r w:rsidRPr="00696FC5">
              <w:rPr>
                <w:bCs/>
                <w:szCs w:val="24"/>
              </w:rPr>
              <w:t xml:space="preserve">. </w:t>
            </w:r>
            <w:r>
              <w:rPr>
                <w:bCs/>
                <w:szCs w:val="24"/>
              </w:rPr>
              <w:t>…&gt;“</w:t>
            </w:r>
          </w:p>
          <w:p w14:paraId="174CB896" w14:textId="0021C75F" w:rsidR="00921413" w:rsidRPr="000A4AA1" w:rsidRDefault="00921413" w:rsidP="00B83806">
            <w:pPr>
              <w:rPr>
                <w:bCs/>
                <w:szCs w:val="24"/>
              </w:rPr>
            </w:pPr>
          </w:p>
        </w:tc>
      </w:tr>
      <w:tr w:rsidR="00B83806" w:rsidRPr="00C96DC7" w14:paraId="0E12FC65" w14:textId="77777777" w:rsidTr="00846AD3">
        <w:tc>
          <w:tcPr>
            <w:tcW w:w="713" w:type="dxa"/>
          </w:tcPr>
          <w:p w14:paraId="6A3CA46A"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1E1B460B" w14:textId="77777777" w:rsidR="00B83806" w:rsidRDefault="00193A5E" w:rsidP="00B83806">
            <w:r>
              <w:t>120.2.1. Jei sistemos naudotojo pateikta kiekio paraiška yra mažesnė arba lygi sujungimo taško techniniams pajėgumams po apribojimo, grąžintina suma neskaičiuojama, išskyrus 120.3.3 numatytą situaciją;</w:t>
            </w:r>
          </w:p>
          <w:p w14:paraId="1412EE10" w14:textId="77777777" w:rsidR="00193A5E" w:rsidRDefault="00193A5E" w:rsidP="00B83806"/>
          <w:p w14:paraId="54454513" w14:textId="0FE34181" w:rsidR="00193A5E" w:rsidRPr="00C96DC7" w:rsidRDefault="00804282" w:rsidP="00B83806">
            <w:pPr>
              <w:rPr>
                <w:szCs w:val="24"/>
              </w:rPr>
            </w:pPr>
            <w:r>
              <w:t>Taisyklėse nėra 120.3.3 punkto, į kurį referuojama - redakcinė pastaba.</w:t>
            </w:r>
          </w:p>
        </w:tc>
        <w:tc>
          <w:tcPr>
            <w:tcW w:w="7226" w:type="dxa"/>
          </w:tcPr>
          <w:p w14:paraId="57884100" w14:textId="77777777" w:rsidR="00B83806" w:rsidRPr="00F06754" w:rsidRDefault="00804282" w:rsidP="00B83806">
            <w:pPr>
              <w:rPr>
                <w:b/>
                <w:szCs w:val="24"/>
              </w:rPr>
            </w:pPr>
            <w:r w:rsidRPr="00F06754">
              <w:rPr>
                <w:b/>
                <w:szCs w:val="24"/>
              </w:rPr>
              <w:t>Atsižvelgta</w:t>
            </w:r>
          </w:p>
          <w:p w14:paraId="276D8EA2" w14:textId="77777777" w:rsidR="00804282" w:rsidRDefault="00804282" w:rsidP="00B83806">
            <w:pPr>
              <w:rPr>
                <w:bCs/>
                <w:szCs w:val="24"/>
              </w:rPr>
            </w:pPr>
          </w:p>
          <w:p w14:paraId="0077C6D1" w14:textId="52D8B920" w:rsidR="00804282" w:rsidRPr="000A4AA1" w:rsidRDefault="00804282" w:rsidP="00B83806">
            <w:pPr>
              <w:rPr>
                <w:bCs/>
                <w:szCs w:val="24"/>
              </w:rPr>
            </w:pPr>
            <w:r>
              <w:rPr>
                <w:bCs/>
                <w:szCs w:val="24"/>
              </w:rPr>
              <w:t>Žiūrėti 2.2 pastabos vertinimą.</w:t>
            </w:r>
          </w:p>
        </w:tc>
      </w:tr>
      <w:tr w:rsidR="00B83806" w:rsidRPr="00C96DC7" w14:paraId="1E086EAF" w14:textId="77777777" w:rsidTr="00846AD3">
        <w:tc>
          <w:tcPr>
            <w:tcW w:w="713" w:type="dxa"/>
          </w:tcPr>
          <w:p w14:paraId="4D4644A9"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5A0FB7B6" w14:textId="0962A7B4" w:rsidR="00A96049" w:rsidRDefault="00A96049" w:rsidP="00B83806">
            <w:r>
              <w:t>„</w:t>
            </w:r>
            <w:r w:rsidR="00DD6856">
              <w:t xml:space="preserve">120.2.2. Jei sistemos naudotojo pateikta kiekio paraiška yra lygi sujungimo taško techniniams pajėgumams po apribojimo, PSO apskaičiuoja grąžintiną sumą už sistemos naudotojo pajėgumų dalį, kai sistemos naudotojo užsakyti nuolatiniai perdavimo pajėgumai viršija sujungimo taško techninius pajėgumus po apribojimo. Grąžintina suma apskaičiuojama pagal formulę: </w:t>
            </w:r>
          </w:p>
          <w:p w14:paraId="48E7229F" w14:textId="77777777" w:rsidR="00A96049" w:rsidRDefault="00DD6856" w:rsidP="00B83806">
            <w:proofErr w:type="spellStart"/>
            <w:r>
              <w:t>Gp</w:t>
            </w:r>
            <w:proofErr w:type="spellEnd"/>
            <w:r>
              <w:t xml:space="preserve"> = (</w:t>
            </w:r>
            <w:proofErr w:type="spellStart"/>
            <w:r>
              <w:t>Puž</w:t>
            </w:r>
            <w:proofErr w:type="spellEnd"/>
            <w:r>
              <w:t xml:space="preserve"> – Ptech1) x K </w:t>
            </w:r>
          </w:p>
          <w:p w14:paraId="28C3F01A" w14:textId="77777777" w:rsidR="00A96049" w:rsidRDefault="00DD6856" w:rsidP="00B83806">
            <w:r>
              <w:t>kur,</w:t>
            </w:r>
          </w:p>
          <w:p w14:paraId="74CE86A7" w14:textId="662807E6" w:rsidR="00DD6856" w:rsidRDefault="00DD6856" w:rsidP="00B83806">
            <w:r>
              <w:t xml:space="preserve"> </w:t>
            </w:r>
            <w:proofErr w:type="spellStart"/>
            <w:r>
              <w:t>Gp</w:t>
            </w:r>
            <w:proofErr w:type="spellEnd"/>
            <w:r>
              <w:t xml:space="preserve"> - grąžintina suma už pajėgumų dalį, kai užsakyti pajėgumai viršija sujungimo taško techninius pajėgumus po apribojimo;</w:t>
            </w:r>
          </w:p>
          <w:p w14:paraId="2404F26C" w14:textId="77777777" w:rsidR="00A96049" w:rsidRDefault="00DD6856" w:rsidP="00B83806">
            <w:proofErr w:type="spellStart"/>
            <w:r>
              <w:t>Puž</w:t>
            </w:r>
            <w:proofErr w:type="spellEnd"/>
            <w:r>
              <w:t xml:space="preserve"> - sistemos naudotojo užsakyti nuolatiniai perdavimo pajėgumai; Ptech1 - sujungimo taško techniniai pajėgumai po apribojimo;</w:t>
            </w:r>
          </w:p>
          <w:p w14:paraId="6E5CDAC6" w14:textId="3B534D2E" w:rsidR="00DD6856" w:rsidRDefault="00DD6856" w:rsidP="00B83806">
            <w:r>
              <w:t>K – perdavimo paslaugų kaina už užsakytus pajėgumus.</w:t>
            </w:r>
            <w:r w:rsidR="00A96049">
              <w:t>“</w:t>
            </w:r>
          </w:p>
          <w:p w14:paraId="433DE70D" w14:textId="77777777" w:rsidR="00A96049" w:rsidRDefault="00A96049" w:rsidP="00B83806"/>
          <w:p w14:paraId="5E1475FD" w14:textId="75EBDEC8" w:rsidR="00B83806" w:rsidRDefault="00F81488" w:rsidP="00B83806">
            <w:r>
              <w:t xml:space="preserve">PSO kompensacijos apskaičiavimo siūlymas Projekte yra ydingas ir skatina sistemos naudotojus nominuoti maksimalias reikšmes, siekiant pasidengti bent dalį patirtų kaštų. Esant situacijai, kai pajėgumai sujungimo taškuose yra ribojami, o sistemos naudotojams būtina persiųsti reikiamą gamtinių dujų kiekį, natūralu, kad siekiant valdyti rizikas, greičiausiai bus nominuojami didesni nei faktiškai reikalingi perduoti kiekiai. Kas reiškia, jog sistemos naudotojams sudaromos priverstinės sąlygos manipuliavimui rinka, nominuojant didesnius, nei faktiškai reikalingi perduodamus gamtinių dujų kiekius. Pažymėtina, jog net ir </w:t>
            </w:r>
            <w:r>
              <w:lastRenderedPageBreak/>
              <w:t>tokiu atveju PSO neužtikrina, jog sistemos naudotojas gaus reikiamą perdavimo pajėgumų kiekį. Bendrovė siūlo paanalizuoti Latvijos PSO taikomas taisykles, kaip sąžiningo kompensavimo modelį, kai sumokėti pinigai už nesuteiktas paslaugas yra grąžinami.</w:t>
            </w:r>
          </w:p>
          <w:p w14:paraId="1BC4D938" w14:textId="6431D209" w:rsidR="00A92F37" w:rsidRPr="00C96DC7" w:rsidRDefault="00A92F37" w:rsidP="00B83806">
            <w:pPr>
              <w:rPr>
                <w:szCs w:val="24"/>
              </w:rPr>
            </w:pPr>
            <w:r>
              <w:t>Sistemos ribojimams viršijant 14 dienų per dujų metus, PSO turi grąžinti sistemos naudotojo sumokėtus pinigus už nesuteiktas paslaugas, skaičiuojant skirtumą tarp užsakytų ir panaudotų sistemos pajėgumų. Bendrovė prašo koreguoti punktą, atsižvelgiant į pastabą.</w:t>
            </w:r>
          </w:p>
        </w:tc>
        <w:tc>
          <w:tcPr>
            <w:tcW w:w="7226" w:type="dxa"/>
          </w:tcPr>
          <w:p w14:paraId="23A0D377" w14:textId="77777777" w:rsidR="00B83806" w:rsidRPr="005B2708" w:rsidRDefault="009A5281" w:rsidP="00B83806">
            <w:pPr>
              <w:rPr>
                <w:b/>
                <w:szCs w:val="24"/>
              </w:rPr>
            </w:pPr>
            <w:r w:rsidRPr="005B2708">
              <w:rPr>
                <w:b/>
                <w:szCs w:val="24"/>
              </w:rPr>
              <w:lastRenderedPageBreak/>
              <w:t>Neatsižvelgta</w:t>
            </w:r>
          </w:p>
          <w:p w14:paraId="24F9A530" w14:textId="77777777" w:rsidR="009A5281" w:rsidRDefault="009A5281" w:rsidP="00B83806">
            <w:pPr>
              <w:rPr>
                <w:bCs/>
                <w:szCs w:val="24"/>
              </w:rPr>
            </w:pPr>
          </w:p>
          <w:p w14:paraId="1945E347" w14:textId="77777777" w:rsidR="009A5281" w:rsidRDefault="00276DD1" w:rsidP="00B83806">
            <w:pPr>
              <w:rPr>
                <w:bCs/>
                <w:szCs w:val="24"/>
              </w:rPr>
            </w:pPr>
            <w:r>
              <w:rPr>
                <w:bCs/>
                <w:szCs w:val="24"/>
              </w:rPr>
              <w:t xml:space="preserve">Taisyklėse </w:t>
            </w:r>
            <w:r w:rsidR="00EB706D">
              <w:rPr>
                <w:bCs/>
                <w:szCs w:val="24"/>
              </w:rPr>
              <w:t xml:space="preserve">nėra skatinama ir niekaip nesiekiama </w:t>
            </w:r>
            <w:r w:rsidR="001F5EE9">
              <w:rPr>
                <w:bCs/>
                <w:szCs w:val="24"/>
              </w:rPr>
              <w:t>skatinti rinkos dalyvių manipuliuoti rinka</w:t>
            </w:r>
            <w:r w:rsidR="00845843">
              <w:rPr>
                <w:bCs/>
                <w:szCs w:val="24"/>
              </w:rPr>
              <w:t xml:space="preserve">, o priešingai siekiama nustatyta </w:t>
            </w:r>
            <w:r w:rsidR="003E4E24">
              <w:rPr>
                <w:bCs/>
                <w:szCs w:val="24"/>
              </w:rPr>
              <w:t xml:space="preserve">aiškias ir </w:t>
            </w:r>
            <w:r w:rsidR="004D6AF4">
              <w:rPr>
                <w:bCs/>
                <w:szCs w:val="24"/>
              </w:rPr>
              <w:t xml:space="preserve">visiems vienodas taisykles. </w:t>
            </w:r>
            <w:r w:rsidR="00B43D2C">
              <w:rPr>
                <w:bCs/>
                <w:szCs w:val="24"/>
              </w:rPr>
              <w:t xml:space="preserve">Sistemos naudotojo siekis </w:t>
            </w:r>
            <w:r w:rsidR="00B23EF2">
              <w:rPr>
                <w:bCs/>
                <w:szCs w:val="24"/>
              </w:rPr>
              <w:t xml:space="preserve">dirbtinai didinti teikiamas kiekio paraiškas </w:t>
            </w:r>
            <w:r w:rsidR="00113B34">
              <w:rPr>
                <w:bCs/>
                <w:szCs w:val="24"/>
              </w:rPr>
              <w:t>galėtų būti laikomas REMIT reglamento pažeidimu.</w:t>
            </w:r>
            <w:r w:rsidR="00DF0CB3">
              <w:rPr>
                <w:bCs/>
                <w:szCs w:val="24"/>
              </w:rPr>
              <w:t xml:space="preserve"> </w:t>
            </w:r>
          </w:p>
          <w:p w14:paraId="69CDFA4E" w14:textId="6A144733" w:rsidR="006620BA" w:rsidRPr="000A4AA1" w:rsidRDefault="00451EB7" w:rsidP="00B83806">
            <w:pPr>
              <w:rPr>
                <w:bCs/>
                <w:szCs w:val="24"/>
              </w:rPr>
            </w:pPr>
            <w:r>
              <w:rPr>
                <w:bCs/>
                <w:szCs w:val="24"/>
              </w:rPr>
              <w:t xml:space="preserve">Taisyklių </w:t>
            </w:r>
            <w:r w:rsidR="00C416B9">
              <w:rPr>
                <w:bCs/>
                <w:szCs w:val="24"/>
              </w:rPr>
              <w:t xml:space="preserve">120.2.2 punktu siekiama nustatyti, kad kompensacija būtų mokama už </w:t>
            </w:r>
            <w:r w:rsidR="00D31AD9">
              <w:rPr>
                <w:bCs/>
                <w:szCs w:val="24"/>
              </w:rPr>
              <w:t>realaus sistemos naudotojo poreikio ribojimą</w:t>
            </w:r>
            <w:r w:rsidR="006620BA">
              <w:rPr>
                <w:bCs/>
                <w:szCs w:val="24"/>
              </w:rPr>
              <w:t>.</w:t>
            </w:r>
            <w:r w:rsidR="00052A8C">
              <w:rPr>
                <w:bCs/>
                <w:szCs w:val="24"/>
              </w:rPr>
              <w:t xml:space="preserve"> Bendrovės nuomone, </w:t>
            </w:r>
            <w:r w:rsidR="005D0E7B">
              <w:rPr>
                <w:bCs/>
                <w:szCs w:val="24"/>
              </w:rPr>
              <w:t>sistemos naudotojas užsakydamas ilgalaikes paslaugas</w:t>
            </w:r>
            <w:r w:rsidR="00C02790">
              <w:rPr>
                <w:bCs/>
                <w:szCs w:val="24"/>
              </w:rPr>
              <w:t xml:space="preserve"> prisiima riziką </w:t>
            </w:r>
            <w:r w:rsidR="00FF1B51">
              <w:rPr>
                <w:bCs/>
                <w:szCs w:val="24"/>
              </w:rPr>
              <w:t xml:space="preserve">dėl galimo jų ribojimo, o Taisyklių papildymu siekiama </w:t>
            </w:r>
            <w:r w:rsidR="00C92A49">
              <w:rPr>
                <w:bCs/>
                <w:szCs w:val="24"/>
              </w:rPr>
              <w:t xml:space="preserve">nustatyti </w:t>
            </w:r>
            <w:r w:rsidR="006474E1">
              <w:rPr>
                <w:bCs/>
                <w:szCs w:val="24"/>
              </w:rPr>
              <w:t>kompensavimo tvarką, kuri būti aiški ir visiems sistemos naudotojams žinoma iš anksto</w:t>
            </w:r>
            <w:r w:rsidR="002607DC">
              <w:rPr>
                <w:bCs/>
                <w:szCs w:val="24"/>
              </w:rPr>
              <w:t xml:space="preserve">. Svarbu pažymėti, kad </w:t>
            </w:r>
            <w:r w:rsidR="00062308">
              <w:rPr>
                <w:bCs/>
                <w:szCs w:val="24"/>
              </w:rPr>
              <w:t>siūlom</w:t>
            </w:r>
            <w:r w:rsidR="008D1C1D">
              <w:rPr>
                <w:bCs/>
                <w:szCs w:val="24"/>
              </w:rPr>
              <w:t>i</w:t>
            </w:r>
            <w:r w:rsidR="00062308">
              <w:rPr>
                <w:bCs/>
                <w:szCs w:val="24"/>
              </w:rPr>
              <w:t xml:space="preserve"> </w:t>
            </w:r>
            <w:r w:rsidR="002607DC">
              <w:rPr>
                <w:bCs/>
                <w:szCs w:val="24"/>
              </w:rPr>
              <w:t xml:space="preserve">pakeitimai </w:t>
            </w:r>
            <w:r w:rsidR="00267220">
              <w:rPr>
                <w:bCs/>
                <w:szCs w:val="24"/>
              </w:rPr>
              <w:t xml:space="preserve">yra teikiami </w:t>
            </w:r>
            <w:r w:rsidR="00062308">
              <w:rPr>
                <w:bCs/>
                <w:szCs w:val="24"/>
              </w:rPr>
              <w:t xml:space="preserve">įvertinus </w:t>
            </w:r>
            <w:r w:rsidR="00267220">
              <w:rPr>
                <w:bCs/>
                <w:szCs w:val="24"/>
              </w:rPr>
              <w:t xml:space="preserve">ne tik Latvijos perdavimo sistemos operatoriaus, bet ir </w:t>
            </w:r>
            <w:r w:rsidR="00CB797A">
              <w:rPr>
                <w:bCs/>
                <w:szCs w:val="24"/>
              </w:rPr>
              <w:t xml:space="preserve">Lenkijos </w:t>
            </w:r>
            <w:r w:rsidR="00062308">
              <w:rPr>
                <w:bCs/>
                <w:szCs w:val="24"/>
              </w:rPr>
              <w:t>perdavimo sistemos operatori</w:t>
            </w:r>
            <w:r w:rsidR="00CB797A">
              <w:rPr>
                <w:bCs/>
                <w:szCs w:val="24"/>
              </w:rPr>
              <w:t>aus</w:t>
            </w:r>
            <w:r w:rsidR="00062308">
              <w:rPr>
                <w:bCs/>
                <w:szCs w:val="24"/>
              </w:rPr>
              <w:t xml:space="preserve"> taikom</w:t>
            </w:r>
            <w:r w:rsidR="00CB797A">
              <w:rPr>
                <w:bCs/>
                <w:szCs w:val="24"/>
              </w:rPr>
              <w:t>ą</w:t>
            </w:r>
            <w:r w:rsidR="00062308">
              <w:rPr>
                <w:bCs/>
                <w:szCs w:val="24"/>
              </w:rPr>
              <w:t xml:space="preserve"> praktiką</w:t>
            </w:r>
            <w:r w:rsidR="00C91F5E">
              <w:rPr>
                <w:bCs/>
                <w:szCs w:val="24"/>
              </w:rPr>
              <w:t xml:space="preserve">. </w:t>
            </w:r>
          </w:p>
        </w:tc>
      </w:tr>
      <w:tr w:rsidR="00B83806" w:rsidRPr="00C96DC7" w14:paraId="1CB1781B" w14:textId="77777777" w:rsidTr="00846AD3">
        <w:tc>
          <w:tcPr>
            <w:tcW w:w="713" w:type="dxa"/>
          </w:tcPr>
          <w:p w14:paraId="3B8D7694"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6F19542A" w14:textId="77777777" w:rsidR="00A20E44" w:rsidRDefault="00D803E1" w:rsidP="00B83806">
            <w:r>
              <w:rPr>
                <w:szCs w:val="24"/>
              </w:rPr>
              <w:t>„</w:t>
            </w:r>
            <w:r>
              <w:t xml:space="preserve">120.2.3 PSO apskaičiuoja grąžintiną sumą už sistemos naudotojo pajėgumų dalį, kai sistemos naudotojo pateikta kiekio paraiška ar patikslinta kiekio paraiška buvo sumažinta dėl pritaikytų ribojimų viršijančių 14 dienų per dujų metus terminą. Grąžintina suma apskaičiuojama pagal formulę: </w:t>
            </w:r>
          </w:p>
          <w:p w14:paraId="68FE6A0B" w14:textId="77777777" w:rsidR="00A20E44" w:rsidRDefault="00D803E1" w:rsidP="00B83806">
            <w:proofErr w:type="spellStart"/>
            <w:r>
              <w:t>Gk</w:t>
            </w:r>
            <w:proofErr w:type="spellEnd"/>
            <w:r>
              <w:t xml:space="preserve"> = (</w:t>
            </w:r>
            <w:proofErr w:type="spellStart"/>
            <w:r>
              <w:t>KPmax</w:t>
            </w:r>
            <w:proofErr w:type="spellEnd"/>
            <w:r>
              <w:t xml:space="preserve"> – </w:t>
            </w:r>
            <w:proofErr w:type="spellStart"/>
            <w:r>
              <w:t>KPpat</w:t>
            </w:r>
            <w:proofErr w:type="spellEnd"/>
            <w:r>
              <w:t xml:space="preserve">) x K </w:t>
            </w:r>
          </w:p>
          <w:p w14:paraId="719311CC" w14:textId="77777777" w:rsidR="00A20E44" w:rsidRDefault="00D803E1" w:rsidP="00B83806">
            <w:r>
              <w:t xml:space="preserve">kur, </w:t>
            </w:r>
          </w:p>
          <w:p w14:paraId="5FC0F2C5" w14:textId="77777777" w:rsidR="00A20E44" w:rsidRDefault="00D803E1" w:rsidP="00B83806">
            <w:proofErr w:type="spellStart"/>
            <w:r>
              <w:t>Gk</w:t>
            </w:r>
            <w:proofErr w:type="spellEnd"/>
            <w:r>
              <w:t xml:space="preserve"> – grąžintina suma už pajėgumų dalį, kai kiekio paraiškai ar patikslinta kiekio paraiška buvo sumažinta dėl pritaikytų ribojimų; </w:t>
            </w:r>
          </w:p>
          <w:p w14:paraId="73F0BEDF" w14:textId="77777777" w:rsidR="00A20E44" w:rsidRDefault="00D803E1" w:rsidP="00B83806">
            <w:proofErr w:type="spellStart"/>
            <w:r>
              <w:t>KPmax</w:t>
            </w:r>
            <w:proofErr w:type="spellEnd"/>
            <w:r>
              <w:t xml:space="preserve"> – sistemos naudotojo didžiausia pateikta kiekio paraiška ar patikslinta kiekio paraiška kurią PSO apribojo, bet ne didesnė nei sistemos</w:t>
            </w:r>
            <w:r w:rsidR="00A20E44">
              <w:t xml:space="preserve"> naudotojo užsakyti nuolatiniai pajėgumai ir ne didesnė nei sujungimo taško techniniai pajėgumai po apribojimo; </w:t>
            </w:r>
          </w:p>
          <w:p w14:paraId="6372D012" w14:textId="77777777" w:rsidR="00A20E44" w:rsidRDefault="00A20E44" w:rsidP="00B83806">
            <w:proofErr w:type="spellStart"/>
            <w:r>
              <w:t>KPpat</w:t>
            </w:r>
            <w:proofErr w:type="spellEnd"/>
            <w:r>
              <w:t xml:space="preserve"> – PSO paskutinė patvirtinta kiekio paraiška ar patikslinta kiekio paraiška; </w:t>
            </w:r>
          </w:p>
          <w:p w14:paraId="74184B4F" w14:textId="77777777" w:rsidR="00A20E44" w:rsidRDefault="00A20E44" w:rsidP="00B83806">
            <w:r>
              <w:t>K – perdavimo paslaugų kaina už užsakytus pajėgumus.“</w:t>
            </w:r>
          </w:p>
          <w:p w14:paraId="2BF86CDC" w14:textId="77777777" w:rsidR="00A20E44" w:rsidRDefault="00A20E44" w:rsidP="00B83806"/>
          <w:p w14:paraId="3D0AE48E" w14:textId="3AF4E08D" w:rsidR="00A20E44" w:rsidRPr="00A20E44" w:rsidRDefault="00980399" w:rsidP="00B83806">
            <w:r>
              <w:t>Žr. Nr. 4. pastabos komentarą. Bendrovė prašo koreguoti punktą, atsižvelgiant į pastabą.</w:t>
            </w:r>
          </w:p>
        </w:tc>
        <w:tc>
          <w:tcPr>
            <w:tcW w:w="7226" w:type="dxa"/>
          </w:tcPr>
          <w:p w14:paraId="2B5A4D49" w14:textId="77777777" w:rsidR="00B83806" w:rsidRPr="00E30067" w:rsidRDefault="00980399" w:rsidP="00B83806">
            <w:pPr>
              <w:rPr>
                <w:b/>
                <w:szCs w:val="24"/>
              </w:rPr>
            </w:pPr>
            <w:r w:rsidRPr="00E30067">
              <w:rPr>
                <w:b/>
                <w:szCs w:val="24"/>
              </w:rPr>
              <w:t>Neatsižvelgta</w:t>
            </w:r>
          </w:p>
          <w:p w14:paraId="2277923A" w14:textId="77777777" w:rsidR="00980399" w:rsidRDefault="00980399" w:rsidP="00B83806">
            <w:pPr>
              <w:rPr>
                <w:bCs/>
                <w:szCs w:val="24"/>
              </w:rPr>
            </w:pPr>
          </w:p>
          <w:p w14:paraId="65EEFECA" w14:textId="020CEA2B" w:rsidR="00980399" w:rsidRPr="000A4AA1" w:rsidRDefault="00980399" w:rsidP="00B83806">
            <w:pPr>
              <w:rPr>
                <w:bCs/>
                <w:szCs w:val="24"/>
              </w:rPr>
            </w:pPr>
            <w:r>
              <w:rPr>
                <w:bCs/>
                <w:szCs w:val="24"/>
              </w:rPr>
              <w:t xml:space="preserve">Žiūrėti </w:t>
            </w:r>
            <w:r w:rsidR="00E30067">
              <w:rPr>
                <w:bCs/>
                <w:szCs w:val="24"/>
              </w:rPr>
              <w:t>4.4 pastabos vertinimą</w:t>
            </w:r>
          </w:p>
        </w:tc>
      </w:tr>
      <w:tr w:rsidR="00B83806" w:rsidRPr="00C96DC7" w14:paraId="0ED5E239" w14:textId="77777777" w:rsidTr="00846AD3">
        <w:tc>
          <w:tcPr>
            <w:tcW w:w="713" w:type="dxa"/>
          </w:tcPr>
          <w:p w14:paraId="5F596CCA"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351E4A01" w14:textId="77777777" w:rsidR="00B83806" w:rsidRDefault="00E30067" w:rsidP="00B83806">
            <w:r>
              <w:rPr>
                <w:szCs w:val="24"/>
              </w:rPr>
              <w:t>„1</w:t>
            </w:r>
            <w:r>
              <w:t>20.4. Grąžintiną sumą už pritaikytus ribojimus PSO apskaičiuoja ir grąžina sistemos naudotojui ne vėliau nei per 30 kalendorinių dienų dujų metams pasibaigus.“</w:t>
            </w:r>
          </w:p>
          <w:p w14:paraId="22BF2782" w14:textId="77777777" w:rsidR="00E30067" w:rsidRDefault="00E30067" w:rsidP="00B83806"/>
          <w:p w14:paraId="714B4353" w14:textId="77777777" w:rsidR="00E30067" w:rsidRDefault="009A11D2" w:rsidP="00B83806">
            <w:r>
              <w:lastRenderedPageBreak/>
              <w:t xml:space="preserve">PSO, pasibaigus kiekvienam ataskaitiniam laikotarpiui, </w:t>
            </w:r>
            <w:proofErr w:type="spellStart"/>
            <w:r>
              <w:t>t.y</w:t>
            </w:r>
            <w:proofErr w:type="spellEnd"/>
            <w:r>
              <w:t xml:space="preserve">. mėnesiui, turi įvertinti sistemos naudotojui kompensuotinas sumas už nesuteiktas paslaugas. Tuo atveju, jei Taisyklės numatytų kompensacijos grąžinimą tik pasibaigus dujų metams, Taisyklėse turėtų būti numatyta nuostata dėl PSO kompensacijos sistemos naudotojams už ilgalaikį sistemos naudotojų lėšų laikymą/naudojimą, </w:t>
            </w:r>
            <w:proofErr w:type="spellStart"/>
            <w:r>
              <w:t>t.y</w:t>
            </w:r>
            <w:proofErr w:type="spellEnd"/>
            <w:r>
              <w:t>. palūkanos, priešingu atveju PSO būtų laikomas nepagrįstai praturtėjusiu, dėl sistemos naudotojų lėšų už paslaugas, kurios nebuvo suteiktos. Atsižvelgiant į tai, siūlytina sistemos naudotojui sumą, grąžintiną už pritaikytus ribojimus, kompensuoti po kiekvieno ataskaitinio laikotarpio.</w:t>
            </w:r>
          </w:p>
          <w:p w14:paraId="37CF4A8A" w14:textId="77777777" w:rsidR="009A11D2" w:rsidRDefault="009A11D2" w:rsidP="00B83806"/>
          <w:p w14:paraId="5090110A" w14:textId="16275E08" w:rsidR="009A11D2" w:rsidRDefault="009A11D2" w:rsidP="00B83806">
            <w:r>
              <w:t>Siūlomas pakeitimas</w:t>
            </w:r>
          </w:p>
          <w:p w14:paraId="04AF5814" w14:textId="7F4F057C" w:rsidR="009A11D2" w:rsidRPr="00C96DC7" w:rsidRDefault="009A11D2" w:rsidP="00B83806">
            <w:pPr>
              <w:rPr>
                <w:szCs w:val="24"/>
              </w:rPr>
            </w:pPr>
            <w:r>
              <w:t xml:space="preserve">120.4. Grąžintiną sumą už pritaikytus ribojimus PSO apskaičiuoja ir grąžina sistemos naudotojui </w:t>
            </w:r>
            <w:r w:rsidRPr="00071748">
              <w:rPr>
                <w:b/>
                <w:bCs/>
              </w:rPr>
              <w:t>už kiekvieną ataskaitinį laikotarpį, kompensuojama suma sumažinant perdavimo paslaugų sąskaitos sumą</w:t>
            </w:r>
            <w:r w:rsidRPr="004F620E">
              <w:rPr>
                <w:b/>
                <w:bCs/>
              </w:rPr>
              <w:t>. PSO vėluojant kompensuoti sistemos naudotojui sumas už pritaikytus ribojimus, kartu su perdavimo paslaugų sąskaitos suma už kiekvieną ataskaitinį laikotarpį, PSO sistemos naudotojui moka Civilinio kodekso numatytas metines palūkanas už sumą, kurią sumokėti praleistas terminas.</w:t>
            </w:r>
            <w:r>
              <w:t xml:space="preserve"> </w:t>
            </w:r>
            <w:r w:rsidRPr="004F620E">
              <w:rPr>
                <w:strike/>
              </w:rPr>
              <w:t>ne vėliau nei per 30 kalendorinių dienų dujų metams pasibaigus.</w:t>
            </w:r>
          </w:p>
        </w:tc>
        <w:tc>
          <w:tcPr>
            <w:tcW w:w="7226" w:type="dxa"/>
          </w:tcPr>
          <w:p w14:paraId="20C37CC1" w14:textId="77777777" w:rsidR="00B83806" w:rsidRPr="008A794A" w:rsidRDefault="004F620E" w:rsidP="00B83806">
            <w:pPr>
              <w:rPr>
                <w:b/>
                <w:szCs w:val="24"/>
              </w:rPr>
            </w:pPr>
            <w:r w:rsidRPr="008A794A">
              <w:rPr>
                <w:b/>
                <w:szCs w:val="24"/>
              </w:rPr>
              <w:lastRenderedPageBreak/>
              <w:t>Neatsižvelgta</w:t>
            </w:r>
          </w:p>
          <w:p w14:paraId="3973F40B" w14:textId="77777777" w:rsidR="004F620E" w:rsidRDefault="004F620E" w:rsidP="00B83806">
            <w:pPr>
              <w:rPr>
                <w:bCs/>
                <w:szCs w:val="24"/>
              </w:rPr>
            </w:pPr>
          </w:p>
          <w:p w14:paraId="647481BF" w14:textId="70556CA4" w:rsidR="004F620E" w:rsidRDefault="00EB751B" w:rsidP="00B83806">
            <w:pPr>
              <w:rPr>
                <w:bCs/>
                <w:szCs w:val="24"/>
              </w:rPr>
            </w:pPr>
            <w:r>
              <w:rPr>
                <w:bCs/>
                <w:szCs w:val="24"/>
              </w:rPr>
              <w:t xml:space="preserve">Žiūrėti </w:t>
            </w:r>
            <w:r w:rsidR="00876D4D">
              <w:rPr>
                <w:bCs/>
                <w:szCs w:val="24"/>
              </w:rPr>
              <w:t>4.2 pastabos vertinim</w:t>
            </w:r>
            <w:r w:rsidR="00FC28B5">
              <w:rPr>
                <w:bCs/>
                <w:szCs w:val="24"/>
              </w:rPr>
              <w:t>ą.</w:t>
            </w:r>
          </w:p>
          <w:p w14:paraId="46E351ED" w14:textId="77777777" w:rsidR="00FC28B5" w:rsidRDefault="00FC28B5" w:rsidP="00B83806">
            <w:pPr>
              <w:rPr>
                <w:bCs/>
                <w:szCs w:val="24"/>
              </w:rPr>
            </w:pPr>
          </w:p>
          <w:p w14:paraId="55D2B0CF" w14:textId="5898ECD1" w:rsidR="00FC28B5" w:rsidRPr="000A4AA1" w:rsidRDefault="00FC28B5" w:rsidP="00B83806">
            <w:pPr>
              <w:rPr>
                <w:bCs/>
                <w:szCs w:val="24"/>
              </w:rPr>
            </w:pPr>
            <w:r>
              <w:rPr>
                <w:bCs/>
                <w:szCs w:val="24"/>
              </w:rPr>
              <w:lastRenderedPageBreak/>
              <w:t xml:space="preserve">Taip pat </w:t>
            </w:r>
            <w:r w:rsidR="003D4BA6">
              <w:rPr>
                <w:bCs/>
                <w:szCs w:val="24"/>
              </w:rPr>
              <w:t xml:space="preserve">atkreipiame dėmesį, kad </w:t>
            </w:r>
            <w:r w:rsidR="00FE2AB3">
              <w:rPr>
                <w:bCs/>
                <w:szCs w:val="24"/>
              </w:rPr>
              <w:t xml:space="preserve">delspinigiai už </w:t>
            </w:r>
            <w:r w:rsidR="00F674D9">
              <w:rPr>
                <w:bCs/>
                <w:szCs w:val="24"/>
              </w:rPr>
              <w:t xml:space="preserve">pavėluotą apmokėjimą yra nustatyti Taisyklių </w:t>
            </w:r>
            <w:r w:rsidR="003C715C">
              <w:rPr>
                <w:bCs/>
                <w:szCs w:val="24"/>
              </w:rPr>
              <w:t>135 punkte.</w:t>
            </w:r>
          </w:p>
        </w:tc>
      </w:tr>
      <w:tr w:rsidR="00B83806" w:rsidRPr="00C96DC7" w14:paraId="6A184917" w14:textId="77777777" w:rsidTr="00846AD3">
        <w:tc>
          <w:tcPr>
            <w:tcW w:w="713" w:type="dxa"/>
          </w:tcPr>
          <w:p w14:paraId="09697893" w14:textId="77777777" w:rsidR="00B83806" w:rsidRPr="00C96DC7" w:rsidRDefault="00B83806" w:rsidP="00B83806">
            <w:pPr>
              <w:numPr>
                <w:ilvl w:val="0"/>
                <w:numId w:val="3"/>
              </w:numPr>
              <w:rPr>
                <w:b/>
                <w:szCs w:val="24"/>
              </w:rPr>
            </w:pPr>
          </w:p>
        </w:tc>
        <w:tc>
          <w:tcPr>
            <w:tcW w:w="14483" w:type="dxa"/>
            <w:gridSpan w:val="3"/>
          </w:tcPr>
          <w:p w14:paraId="2E436221" w14:textId="6C72A014" w:rsidR="00B83806" w:rsidRPr="00305718" w:rsidRDefault="00600299" w:rsidP="00B83806">
            <w:pPr>
              <w:tabs>
                <w:tab w:val="left" w:pos="5880"/>
              </w:tabs>
              <w:rPr>
                <w:b/>
                <w:bCs/>
                <w:szCs w:val="24"/>
              </w:rPr>
            </w:pPr>
            <w:r w:rsidRPr="00600299">
              <w:rPr>
                <w:b/>
                <w:bCs/>
              </w:rPr>
              <w:t>AS "</w:t>
            </w:r>
            <w:proofErr w:type="spellStart"/>
            <w:r w:rsidRPr="00600299">
              <w:rPr>
                <w:b/>
                <w:bCs/>
              </w:rPr>
              <w:t>Latvenergo</w:t>
            </w:r>
            <w:proofErr w:type="spellEnd"/>
            <w:r w:rsidRPr="00600299">
              <w:rPr>
                <w:b/>
                <w:bCs/>
              </w:rPr>
              <w:t>"</w:t>
            </w:r>
          </w:p>
        </w:tc>
      </w:tr>
      <w:tr w:rsidR="00B83806" w:rsidRPr="00C96DC7" w14:paraId="7D4D561D" w14:textId="77777777" w:rsidTr="00846AD3">
        <w:trPr>
          <w:trHeight w:val="3676"/>
        </w:trPr>
        <w:tc>
          <w:tcPr>
            <w:tcW w:w="713" w:type="dxa"/>
          </w:tcPr>
          <w:p w14:paraId="40B8E949" w14:textId="77777777" w:rsidR="00B83806" w:rsidRPr="00C96DC7" w:rsidRDefault="00B83806" w:rsidP="00B83806">
            <w:pPr>
              <w:numPr>
                <w:ilvl w:val="1"/>
                <w:numId w:val="3"/>
              </w:numPr>
              <w:tabs>
                <w:tab w:val="clear" w:pos="720"/>
                <w:tab w:val="left" w:pos="360"/>
              </w:tabs>
              <w:ind w:left="459" w:hanging="459"/>
              <w:jc w:val="left"/>
              <w:rPr>
                <w:b/>
                <w:szCs w:val="24"/>
              </w:rPr>
            </w:pPr>
          </w:p>
        </w:tc>
        <w:tc>
          <w:tcPr>
            <w:tcW w:w="7257" w:type="dxa"/>
            <w:gridSpan w:val="2"/>
          </w:tcPr>
          <w:p w14:paraId="28A651EF" w14:textId="77777777" w:rsidR="00053F45" w:rsidRPr="00DE503C" w:rsidRDefault="00053F45" w:rsidP="00053F45">
            <w:pPr>
              <w:tabs>
                <w:tab w:val="left" w:pos="5880"/>
              </w:tabs>
              <w:rPr>
                <w:szCs w:val="24"/>
                <w:lang w:val="en-US"/>
              </w:rPr>
            </w:pPr>
            <w:r w:rsidRPr="00DE503C">
              <w:rPr>
                <w:szCs w:val="24"/>
                <w:lang w:val="en-US"/>
              </w:rPr>
              <w:t>Referring to AB Amber Grid (hereafter – Amber Grid) invitation to comment on the updated Rules for Access to the Amber Grid Transmission System (hereafter – Rules), JSC "</w:t>
            </w:r>
            <w:proofErr w:type="spellStart"/>
            <w:r w:rsidRPr="00DE503C">
              <w:rPr>
                <w:szCs w:val="24"/>
                <w:lang w:val="en-US"/>
              </w:rPr>
              <w:t>Latvenergo</w:t>
            </w:r>
            <w:proofErr w:type="spellEnd"/>
            <w:r w:rsidRPr="00DE503C">
              <w:rPr>
                <w:szCs w:val="24"/>
                <w:lang w:val="en-US"/>
              </w:rPr>
              <w:t xml:space="preserve">" (hereafter – </w:t>
            </w:r>
            <w:proofErr w:type="spellStart"/>
            <w:r w:rsidRPr="00DE503C">
              <w:rPr>
                <w:szCs w:val="24"/>
                <w:lang w:val="en-US"/>
              </w:rPr>
              <w:t>Latvenergo</w:t>
            </w:r>
            <w:proofErr w:type="spellEnd"/>
            <w:r w:rsidRPr="00DE503C">
              <w:rPr>
                <w:szCs w:val="24"/>
                <w:lang w:val="en-US"/>
              </w:rPr>
              <w:t xml:space="preserve">) would like to point out that, as one of the major Lithuanian natural gas transmission system users, </w:t>
            </w:r>
            <w:proofErr w:type="spellStart"/>
            <w:r w:rsidRPr="00DE503C">
              <w:rPr>
                <w:szCs w:val="24"/>
                <w:lang w:val="en-US"/>
              </w:rPr>
              <w:t>Latvenergo</w:t>
            </w:r>
            <w:proofErr w:type="spellEnd"/>
            <w:r w:rsidRPr="00DE503C">
              <w:rPr>
                <w:szCs w:val="24"/>
                <w:lang w:val="en-US"/>
              </w:rPr>
              <w:t xml:space="preserve"> cannot agree to the proposed amendments in paragraph 120.2. and its Sub-paragraphs of the Rules. </w:t>
            </w:r>
          </w:p>
          <w:p w14:paraId="0FA2168B" w14:textId="77777777" w:rsidR="00053F45" w:rsidRPr="00DE503C" w:rsidRDefault="00053F45" w:rsidP="00053F45">
            <w:pPr>
              <w:tabs>
                <w:tab w:val="left" w:pos="5880"/>
              </w:tabs>
              <w:rPr>
                <w:szCs w:val="24"/>
                <w:lang w:val="en-US"/>
              </w:rPr>
            </w:pPr>
            <w:r w:rsidRPr="00DE503C">
              <w:rPr>
                <w:szCs w:val="24"/>
                <w:lang w:val="en-US"/>
              </w:rPr>
              <w:t xml:space="preserve">Any user of the transmission system (hereafter – Network User) is entitled to receive transmission services from the transmission system operator (hereafter – TSO), in this case – Amber Grid. If a situation happens that due to the fault of the TSO (maintenance works) the Network User cannot receive the transmission services that the Network User has reserved, then by no means shall the TSO collect payments from Network User for services that the TSO has not been able to render. </w:t>
            </w:r>
          </w:p>
          <w:p w14:paraId="4950047D" w14:textId="77777777" w:rsidR="00B83806" w:rsidRPr="00DE503C" w:rsidRDefault="00053F45" w:rsidP="00053F45">
            <w:pPr>
              <w:tabs>
                <w:tab w:val="left" w:pos="5880"/>
              </w:tabs>
              <w:rPr>
                <w:szCs w:val="24"/>
                <w:lang w:val="en-US"/>
              </w:rPr>
            </w:pPr>
            <w:r w:rsidRPr="00DE503C">
              <w:rPr>
                <w:szCs w:val="24"/>
                <w:lang w:val="en-US"/>
              </w:rPr>
              <w:t>We would also like to point out that the proposed amendments of the Rules with regards to paragraph 120.2. and its Sub-paragraphs do not comply with regulatory requirements set in the EU Commission Regulation No 2017/459 of 16 March 2017 establishing a network code on capacity allocation mechanisms in gas transmission systems and repealing Regulation (EU) No 984/2013, which lays down, inter alia, how adjacent transmission system operators cooperate in order to facilitate capacity sales, having regard to general commercial as well as technical rules related to capacity allocation mechanisms.</w:t>
            </w:r>
          </w:p>
          <w:p w14:paraId="3F60350C" w14:textId="77777777" w:rsidR="00DE503C" w:rsidRPr="00DE503C" w:rsidRDefault="00DE503C" w:rsidP="00DE503C">
            <w:pPr>
              <w:tabs>
                <w:tab w:val="left" w:pos="5880"/>
              </w:tabs>
              <w:rPr>
                <w:szCs w:val="24"/>
                <w:lang w:val="en-US"/>
              </w:rPr>
            </w:pPr>
            <w:r w:rsidRPr="00DE503C">
              <w:rPr>
                <w:szCs w:val="24"/>
                <w:lang w:val="en-US"/>
              </w:rPr>
              <w:t xml:space="preserve">The proposed amendments of the Rules with regards to paragraph 120.2. and its Sub-paragraphs also do not comply with the EU Commission Regulation No 312/2014 of 26 March 2014 establishing a Network Code on Gas Balancing of Transmission Networks which establishes a </w:t>
            </w:r>
            <w:proofErr w:type="gramStart"/>
            <w:r w:rsidRPr="00DE503C">
              <w:rPr>
                <w:szCs w:val="24"/>
                <w:lang w:val="en-US"/>
              </w:rPr>
              <w:t>proper natural gas transmission system nomination procedures</w:t>
            </w:r>
            <w:proofErr w:type="gramEnd"/>
            <w:r w:rsidRPr="00DE503C">
              <w:rPr>
                <w:szCs w:val="24"/>
                <w:lang w:val="en-US"/>
              </w:rPr>
              <w:t xml:space="preserve"> at interconnection points. </w:t>
            </w:r>
          </w:p>
          <w:p w14:paraId="68DFE267" w14:textId="77777777" w:rsidR="00DE503C" w:rsidRPr="00DE503C" w:rsidRDefault="00DE503C" w:rsidP="00DE503C">
            <w:pPr>
              <w:tabs>
                <w:tab w:val="left" w:pos="5880"/>
              </w:tabs>
              <w:rPr>
                <w:szCs w:val="24"/>
                <w:lang w:val="en-US"/>
              </w:rPr>
            </w:pPr>
            <w:r w:rsidRPr="00DE503C">
              <w:rPr>
                <w:szCs w:val="24"/>
                <w:lang w:val="en-US"/>
              </w:rPr>
              <w:t xml:space="preserve">Moreover, the Rules with regards to paragraph 120.2. and its Sub-paragraphs do not comply with the EU Commission Regulation No 715/2009 of 13 July 2009 on conditions for access to the natural gas </w:t>
            </w:r>
            <w:r w:rsidRPr="00DE503C">
              <w:rPr>
                <w:szCs w:val="24"/>
                <w:lang w:val="en-US"/>
              </w:rPr>
              <w:lastRenderedPageBreak/>
              <w:t xml:space="preserve">transmission networks and repealing Regulation (EC) No 1775/2005 which regulates the principles of transparent and non-discriminatory capacity allocation mechanisms and congestion management procedures. </w:t>
            </w:r>
          </w:p>
          <w:p w14:paraId="143CA0B9" w14:textId="6FFD6979" w:rsidR="00DE503C" w:rsidRPr="00DE503C" w:rsidRDefault="00DE503C" w:rsidP="00DE503C">
            <w:pPr>
              <w:tabs>
                <w:tab w:val="left" w:pos="5880"/>
              </w:tabs>
              <w:rPr>
                <w:szCs w:val="24"/>
                <w:lang w:val="en-US"/>
              </w:rPr>
            </w:pPr>
            <w:r w:rsidRPr="00DE503C">
              <w:rPr>
                <w:szCs w:val="24"/>
                <w:lang w:val="en-US"/>
              </w:rPr>
              <w:t xml:space="preserve">Considering the above mentioned, the capacity compensation calculations to which refers paragraph 120.2. and its Sub-paragraphs of the Rules should be redesigned in the way that the Network Users are relieved from capacity payments to the TSO if the Network Users have made firm capacity bookings and those capacities have been limited by the TSO. The Network Users should be liable only for capacity payments to the amount to which the Network Users initially booked capacities have been proportionally decreased by the TSO. Finally, the compensation principles should be aligned and synchronized with adjacent TSO of </w:t>
            </w:r>
            <w:proofErr w:type="gramStart"/>
            <w:r w:rsidRPr="00DE503C">
              <w:rPr>
                <w:szCs w:val="24"/>
                <w:lang w:val="en-US"/>
              </w:rPr>
              <w:t>particular interconnection</w:t>
            </w:r>
            <w:proofErr w:type="gramEnd"/>
            <w:r w:rsidRPr="00DE503C">
              <w:rPr>
                <w:szCs w:val="24"/>
                <w:lang w:val="en-US"/>
              </w:rPr>
              <w:t xml:space="preserve"> point.</w:t>
            </w:r>
          </w:p>
        </w:tc>
        <w:tc>
          <w:tcPr>
            <w:tcW w:w="7226" w:type="dxa"/>
          </w:tcPr>
          <w:p w14:paraId="1C5486A6" w14:textId="77777777" w:rsidR="00B83806" w:rsidRPr="00BA042A" w:rsidRDefault="00B83806" w:rsidP="00B83806">
            <w:pPr>
              <w:tabs>
                <w:tab w:val="left" w:pos="5880"/>
              </w:tabs>
              <w:rPr>
                <w:b/>
                <w:szCs w:val="24"/>
              </w:rPr>
            </w:pPr>
            <w:r w:rsidRPr="00BA042A">
              <w:rPr>
                <w:b/>
                <w:szCs w:val="24"/>
              </w:rPr>
              <w:lastRenderedPageBreak/>
              <w:t>Neatsižvelgta</w:t>
            </w:r>
          </w:p>
          <w:p w14:paraId="04AE6258" w14:textId="77777777" w:rsidR="00B83806" w:rsidRDefault="00B83806" w:rsidP="00B83806">
            <w:pPr>
              <w:tabs>
                <w:tab w:val="left" w:pos="5880"/>
              </w:tabs>
              <w:rPr>
                <w:bCs/>
                <w:szCs w:val="24"/>
              </w:rPr>
            </w:pPr>
          </w:p>
          <w:p w14:paraId="3AF9999E" w14:textId="77777777" w:rsidR="001401B2" w:rsidRDefault="001401B2" w:rsidP="00B83806">
            <w:pPr>
              <w:tabs>
                <w:tab w:val="left" w:pos="5880"/>
              </w:tabs>
              <w:rPr>
                <w:bCs/>
                <w:szCs w:val="24"/>
              </w:rPr>
            </w:pPr>
            <w:r>
              <w:rPr>
                <w:bCs/>
                <w:szCs w:val="24"/>
              </w:rPr>
              <w:t xml:space="preserve">Taisyklių </w:t>
            </w:r>
            <w:r w:rsidR="001F3D6B">
              <w:rPr>
                <w:bCs/>
                <w:szCs w:val="24"/>
              </w:rPr>
              <w:t>120</w:t>
            </w:r>
            <w:r w:rsidR="00A27099">
              <w:rPr>
                <w:bCs/>
                <w:szCs w:val="24"/>
              </w:rPr>
              <w:t xml:space="preserve">.2 punktu nėra siekiama nustatyti ar keisti nei pajėgumų paskirstymo </w:t>
            </w:r>
            <w:r w:rsidR="00F72586">
              <w:rPr>
                <w:bCs/>
                <w:szCs w:val="24"/>
              </w:rPr>
              <w:t>principų</w:t>
            </w:r>
            <w:r w:rsidR="002D18F6">
              <w:rPr>
                <w:bCs/>
                <w:szCs w:val="24"/>
              </w:rPr>
              <w:t>,</w:t>
            </w:r>
            <w:r w:rsidR="00F72586">
              <w:rPr>
                <w:bCs/>
                <w:szCs w:val="24"/>
              </w:rPr>
              <w:t xml:space="preserve"> nei kiekio paraiškų teikimo taisyklių</w:t>
            </w:r>
            <w:r w:rsidR="001D62E0">
              <w:rPr>
                <w:bCs/>
                <w:szCs w:val="24"/>
              </w:rPr>
              <w:t xml:space="preserve">, nei </w:t>
            </w:r>
            <w:r w:rsidR="00C37E6D">
              <w:rPr>
                <w:bCs/>
                <w:szCs w:val="24"/>
              </w:rPr>
              <w:t>perkrovos valdymo priemones</w:t>
            </w:r>
            <w:r w:rsidR="00F72586">
              <w:rPr>
                <w:bCs/>
                <w:szCs w:val="24"/>
              </w:rPr>
              <w:t xml:space="preserve">. </w:t>
            </w:r>
            <w:r w:rsidR="002D18F6">
              <w:rPr>
                <w:bCs/>
                <w:szCs w:val="24"/>
              </w:rPr>
              <w:t xml:space="preserve">Taisyklių 120.2 punktu siekiama nustatyti aiškias ir visiems sistemos naudotojams vienodai taikomas </w:t>
            </w:r>
            <w:r w:rsidR="00C37E6D">
              <w:rPr>
                <w:bCs/>
                <w:szCs w:val="24"/>
              </w:rPr>
              <w:t xml:space="preserve">kompensacijos už apribotus </w:t>
            </w:r>
            <w:r w:rsidR="001C2630">
              <w:rPr>
                <w:bCs/>
                <w:szCs w:val="24"/>
              </w:rPr>
              <w:t xml:space="preserve">perdavimo pajėgumus skaičiavimo </w:t>
            </w:r>
            <w:r w:rsidR="00D44081">
              <w:rPr>
                <w:bCs/>
                <w:szCs w:val="24"/>
              </w:rPr>
              <w:t>taisykles</w:t>
            </w:r>
            <w:r w:rsidR="001D62E0">
              <w:rPr>
                <w:bCs/>
                <w:szCs w:val="24"/>
              </w:rPr>
              <w:t xml:space="preserve">. </w:t>
            </w:r>
            <w:r w:rsidR="008D1C1D">
              <w:rPr>
                <w:bCs/>
                <w:szCs w:val="24"/>
              </w:rPr>
              <w:t>Taisyklių 120.2 punktu siekiama nustatyti, kad kompensacija būtų mokama už realaus sistemos naudotojo poreikio ribojimą. Bendrovės nuomone, sistemos naudotojas užsakydamas ilgalaikes paslaugas prisiima riziką dėl galimo jų ribojimo, o Taisyklių papildymu siekiama nustatyti kompensavimo tvarką, kuri būti aiški ir visiems sistemos naudotojams žinoma iš anksto. Svarbu pažymėti, kad siūlomi pakeitimai yra teikiami įvertinus ne tik Latvijos perdavimo sistemos operatoriaus, bet viso regiono ir kitų ES šalių perdavimo sistemos operatorių taikoma praktiką.</w:t>
            </w:r>
          </w:p>
          <w:p w14:paraId="1EE89B1C" w14:textId="77777777" w:rsidR="00100DE5" w:rsidRDefault="00100DE5" w:rsidP="00B83806">
            <w:pPr>
              <w:tabs>
                <w:tab w:val="left" w:pos="5880"/>
              </w:tabs>
              <w:rPr>
                <w:bCs/>
                <w:szCs w:val="24"/>
              </w:rPr>
            </w:pPr>
          </w:p>
          <w:p w14:paraId="5A7A5FED" w14:textId="77777777" w:rsidR="00100DE5" w:rsidRPr="00100DE5" w:rsidRDefault="00100DE5" w:rsidP="00100DE5">
            <w:pPr>
              <w:tabs>
                <w:tab w:val="left" w:pos="5880"/>
              </w:tabs>
              <w:rPr>
                <w:b/>
                <w:bCs/>
                <w:lang w:val="en-US"/>
              </w:rPr>
            </w:pPr>
            <w:r w:rsidRPr="00100DE5">
              <w:rPr>
                <w:b/>
                <w:bCs/>
                <w:lang w:val="en-US"/>
              </w:rPr>
              <w:t xml:space="preserve">Not </w:t>
            </w:r>
            <w:proofErr w:type="gramStart"/>
            <w:r w:rsidRPr="00100DE5">
              <w:rPr>
                <w:b/>
                <w:bCs/>
                <w:lang w:val="en-US"/>
              </w:rPr>
              <w:t>taken into account</w:t>
            </w:r>
            <w:proofErr w:type="gramEnd"/>
          </w:p>
          <w:p w14:paraId="23BEE97B" w14:textId="77777777" w:rsidR="00100DE5" w:rsidRPr="00100DE5" w:rsidRDefault="00100DE5" w:rsidP="00100DE5">
            <w:pPr>
              <w:tabs>
                <w:tab w:val="left" w:pos="5880"/>
              </w:tabs>
              <w:rPr>
                <w:lang w:val="en-US"/>
              </w:rPr>
            </w:pPr>
          </w:p>
          <w:p w14:paraId="74EE8410" w14:textId="1D181720" w:rsidR="00100DE5" w:rsidRPr="00B849A6" w:rsidRDefault="00100DE5" w:rsidP="00100DE5">
            <w:pPr>
              <w:tabs>
                <w:tab w:val="left" w:pos="5880"/>
              </w:tabs>
            </w:pPr>
            <w:r w:rsidRPr="00100DE5">
              <w:rPr>
                <w:lang w:val="en-US"/>
              </w:rPr>
              <w:t xml:space="preserve">Paragraph 120.2 of the Rules does not seek to establish or modify the principles of capacity allocation, the rules for </w:t>
            </w:r>
            <w:r>
              <w:rPr>
                <w:lang w:val="en-US"/>
              </w:rPr>
              <w:t>submitting nominations</w:t>
            </w:r>
            <w:r w:rsidRPr="00100DE5">
              <w:rPr>
                <w:lang w:val="en-US"/>
              </w:rPr>
              <w:t xml:space="preserve"> or the congestion management </w:t>
            </w:r>
            <w:r w:rsidR="003E7C9C">
              <w:rPr>
                <w:lang w:val="en-US"/>
              </w:rPr>
              <w:t>procedures</w:t>
            </w:r>
            <w:r w:rsidRPr="00100DE5">
              <w:rPr>
                <w:lang w:val="en-US"/>
              </w:rPr>
              <w:t xml:space="preserve">. The </w:t>
            </w:r>
            <w:r w:rsidR="003E7C9C">
              <w:rPr>
                <w:lang w:val="en-US"/>
              </w:rPr>
              <w:t>goal</w:t>
            </w:r>
            <w:r w:rsidRPr="00100DE5">
              <w:rPr>
                <w:lang w:val="en-US"/>
              </w:rPr>
              <w:t xml:space="preserve"> of paragraph 120.2 is to establish </w:t>
            </w:r>
            <w:r w:rsidR="003E7C9C">
              <w:rPr>
                <w:lang w:val="en-US"/>
              </w:rPr>
              <w:t>transparent</w:t>
            </w:r>
            <w:r w:rsidRPr="00100DE5">
              <w:rPr>
                <w:lang w:val="en-US"/>
              </w:rPr>
              <w:t xml:space="preserve"> rules for the calculation of compensation for transmission capacity </w:t>
            </w:r>
            <w:r w:rsidR="003E7C9C">
              <w:rPr>
                <w:lang w:val="en-US"/>
              </w:rPr>
              <w:t>restriction</w:t>
            </w:r>
            <w:r w:rsidRPr="00100DE5">
              <w:rPr>
                <w:lang w:val="en-US"/>
              </w:rPr>
              <w:t xml:space="preserve">, which are applicable equally to all </w:t>
            </w:r>
            <w:r w:rsidR="003E7C9C">
              <w:rPr>
                <w:lang w:val="en-US"/>
              </w:rPr>
              <w:t>network</w:t>
            </w:r>
            <w:r w:rsidRPr="00100DE5">
              <w:rPr>
                <w:lang w:val="en-US"/>
              </w:rPr>
              <w:t xml:space="preserve"> users. Paragraph 120.2 of the Rules aims to provide that compensation shall be paid for limiting the actual demand of the </w:t>
            </w:r>
            <w:r w:rsidR="003E7C9C">
              <w:rPr>
                <w:lang w:val="en-US"/>
              </w:rPr>
              <w:t>network</w:t>
            </w:r>
            <w:r w:rsidRPr="00100DE5">
              <w:rPr>
                <w:lang w:val="en-US"/>
              </w:rPr>
              <w:t xml:space="preserve"> user. In the Company's view, a </w:t>
            </w:r>
            <w:r w:rsidR="003E7C9C">
              <w:rPr>
                <w:lang w:val="en-US"/>
              </w:rPr>
              <w:t>network</w:t>
            </w:r>
            <w:r w:rsidRPr="00100DE5">
              <w:rPr>
                <w:lang w:val="en-US"/>
              </w:rPr>
              <w:t xml:space="preserve"> user assumes the risk of possible </w:t>
            </w:r>
            <w:r w:rsidR="006D726A">
              <w:rPr>
                <w:lang w:val="en-US"/>
              </w:rPr>
              <w:t>limitation</w:t>
            </w:r>
            <w:r w:rsidRPr="00100DE5">
              <w:rPr>
                <w:lang w:val="en-US"/>
              </w:rPr>
              <w:t xml:space="preserve"> when </w:t>
            </w:r>
            <w:r w:rsidR="006D726A">
              <w:rPr>
                <w:lang w:val="en-US"/>
              </w:rPr>
              <w:t>booking</w:t>
            </w:r>
            <w:r w:rsidRPr="00100DE5">
              <w:rPr>
                <w:lang w:val="en-US"/>
              </w:rPr>
              <w:t xml:space="preserve"> long-term services, and the purpose of the </w:t>
            </w:r>
            <w:r w:rsidR="006D726A">
              <w:rPr>
                <w:lang w:val="en-US"/>
              </w:rPr>
              <w:t>amendment</w:t>
            </w:r>
            <w:r w:rsidRPr="00100DE5">
              <w:rPr>
                <w:lang w:val="en-US"/>
              </w:rPr>
              <w:t xml:space="preserve"> to the Rules is to </w:t>
            </w:r>
            <w:r w:rsidR="00877F4B">
              <w:rPr>
                <w:lang w:val="en-US"/>
              </w:rPr>
              <w:t>establish</w:t>
            </w:r>
            <w:r w:rsidRPr="00100DE5">
              <w:rPr>
                <w:lang w:val="en-US"/>
              </w:rPr>
              <w:t xml:space="preserve"> a compensation procedure that is clear and known in advance to all </w:t>
            </w:r>
            <w:r w:rsidR="00877F4B">
              <w:rPr>
                <w:lang w:val="en-US"/>
              </w:rPr>
              <w:t>network</w:t>
            </w:r>
            <w:r w:rsidRPr="00100DE5">
              <w:rPr>
                <w:lang w:val="en-US"/>
              </w:rPr>
              <w:t xml:space="preserve"> users. It is important to note that the proposed amendments are submitted following an assessment of the practices not only of the Latvian TSO, but also of the TSOs in the region and other EU countries.</w:t>
            </w:r>
          </w:p>
        </w:tc>
      </w:tr>
      <w:tr w:rsidR="00846AD3" w:rsidRPr="00C96DC7" w14:paraId="695129C7" w14:textId="77777777" w:rsidTr="00DE3819">
        <w:trPr>
          <w:trHeight w:val="415"/>
        </w:trPr>
        <w:tc>
          <w:tcPr>
            <w:tcW w:w="713" w:type="dxa"/>
          </w:tcPr>
          <w:p w14:paraId="48A9C6B0" w14:textId="371FE44A" w:rsidR="00846AD3" w:rsidRPr="00C96DC7" w:rsidRDefault="00846AD3" w:rsidP="00846AD3">
            <w:pPr>
              <w:tabs>
                <w:tab w:val="clear" w:pos="720"/>
                <w:tab w:val="left" w:pos="360"/>
              </w:tabs>
              <w:jc w:val="left"/>
              <w:rPr>
                <w:b/>
                <w:szCs w:val="24"/>
              </w:rPr>
            </w:pPr>
            <w:r>
              <w:rPr>
                <w:b/>
                <w:szCs w:val="24"/>
              </w:rPr>
              <w:t>6.</w:t>
            </w:r>
          </w:p>
        </w:tc>
        <w:tc>
          <w:tcPr>
            <w:tcW w:w="7257" w:type="dxa"/>
            <w:gridSpan w:val="2"/>
          </w:tcPr>
          <w:p w14:paraId="343830EB" w14:textId="4344F5D1" w:rsidR="00846AD3" w:rsidRPr="00DE503C" w:rsidRDefault="00DE3819" w:rsidP="00053F45">
            <w:pPr>
              <w:tabs>
                <w:tab w:val="left" w:pos="5880"/>
              </w:tabs>
              <w:rPr>
                <w:szCs w:val="24"/>
                <w:lang w:val="en-US"/>
              </w:rPr>
            </w:pPr>
            <w:r w:rsidRPr="00DE3819">
              <w:rPr>
                <w:szCs w:val="24"/>
                <w:lang w:val="en-US"/>
              </w:rPr>
              <w:t>VALSTYBINĖ ENERGETIKOS REGULIAVIMO TARYBA</w:t>
            </w:r>
          </w:p>
        </w:tc>
        <w:tc>
          <w:tcPr>
            <w:tcW w:w="7226" w:type="dxa"/>
          </w:tcPr>
          <w:p w14:paraId="6AB97F2F" w14:textId="77777777" w:rsidR="00846AD3" w:rsidRPr="00BA042A" w:rsidRDefault="00846AD3" w:rsidP="00B83806">
            <w:pPr>
              <w:tabs>
                <w:tab w:val="left" w:pos="5880"/>
              </w:tabs>
              <w:rPr>
                <w:b/>
                <w:szCs w:val="24"/>
              </w:rPr>
            </w:pPr>
          </w:p>
        </w:tc>
      </w:tr>
      <w:tr w:rsidR="00846AD3" w:rsidRPr="00C96DC7" w14:paraId="5ED33B3F" w14:textId="77777777" w:rsidTr="00846AD3">
        <w:trPr>
          <w:trHeight w:val="841"/>
        </w:trPr>
        <w:tc>
          <w:tcPr>
            <w:tcW w:w="713" w:type="dxa"/>
          </w:tcPr>
          <w:p w14:paraId="07380E05" w14:textId="05CEC119" w:rsidR="00846AD3" w:rsidRPr="00DE3819" w:rsidRDefault="00DE3819" w:rsidP="00DE3819">
            <w:pPr>
              <w:tabs>
                <w:tab w:val="clear" w:pos="720"/>
                <w:tab w:val="left" w:pos="360"/>
              </w:tabs>
              <w:jc w:val="left"/>
              <w:rPr>
                <w:bCs/>
                <w:szCs w:val="24"/>
              </w:rPr>
            </w:pPr>
            <w:r w:rsidRPr="00DE3819">
              <w:rPr>
                <w:bCs/>
                <w:szCs w:val="24"/>
              </w:rPr>
              <w:t>6.1.</w:t>
            </w:r>
          </w:p>
        </w:tc>
        <w:tc>
          <w:tcPr>
            <w:tcW w:w="7257" w:type="dxa"/>
            <w:gridSpan w:val="2"/>
          </w:tcPr>
          <w:p w14:paraId="0C7E8B05" w14:textId="43BC78ED" w:rsidR="00846AD3" w:rsidRPr="00696FC5" w:rsidRDefault="00A5783F" w:rsidP="00053F45">
            <w:pPr>
              <w:tabs>
                <w:tab w:val="left" w:pos="5880"/>
              </w:tabs>
              <w:rPr>
                <w:szCs w:val="24"/>
              </w:rPr>
            </w:pPr>
            <w:r w:rsidRPr="00696FC5">
              <w:rPr>
                <w:szCs w:val="24"/>
              </w:rPr>
              <w:t>Taisyklių 119 punkte  nėra aiškaus reglamentavimo nuo kurios pajėgumų ribojimo dienos</w:t>
            </w:r>
            <w:r w:rsidR="00925992" w:rsidRPr="00696FC5">
              <w:rPr>
                <w:szCs w:val="24"/>
              </w:rPr>
              <w:t xml:space="preserve"> </w:t>
            </w:r>
            <w:r w:rsidRPr="00696FC5">
              <w:rPr>
                <w:szCs w:val="24"/>
              </w:rPr>
              <w:t>sistemos   naudotojas   yra   atleidžiamas   nuo   mokėjimo,   todėl   prašome   patikslinti,   nurodant</w:t>
            </w:r>
            <w:r w:rsidR="00925992" w:rsidRPr="00696FC5">
              <w:rPr>
                <w:szCs w:val="24"/>
              </w:rPr>
              <w:t xml:space="preserve"> </w:t>
            </w:r>
            <w:r w:rsidRPr="00696FC5">
              <w:rPr>
                <w:szCs w:val="24"/>
              </w:rPr>
              <w:t>laikotarpio/termino pradžią, nuo kurios sistemos naudotojas yra atleidžiamas nuo pareigos apmokėti</w:t>
            </w:r>
            <w:r w:rsidR="00925992" w:rsidRPr="00696FC5">
              <w:rPr>
                <w:szCs w:val="24"/>
              </w:rPr>
              <w:t xml:space="preserve"> </w:t>
            </w:r>
            <w:r w:rsidRPr="00696FC5">
              <w:rPr>
                <w:szCs w:val="24"/>
              </w:rPr>
              <w:t>už nuolatinius perdavimo pajėgumus</w:t>
            </w:r>
          </w:p>
        </w:tc>
        <w:tc>
          <w:tcPr>
            <w:tcW w:w="7226" w:type="dxa"/>
          </w:tcPr>
          <w:p w14:paraId="4895AEC0" w14:textId="77777777" w:rsidR="0079163E" w:rsidRDefault="0079163E" w:rsidP="00B83806">
            <w:pPr>
              <w:tabs>
                <w:tab w:val="left" w:pos="5880"/>
              </w:tabs>
              <w:rPr>
                <w:b/>
                <w:szCs w:val="24"/>
              </w:rPr>
            </w:pPr>
            <w:r>
              <w:rPr>
                <w:b/>
                <w:szCs w:val="24"/>
              </w:rPr>
              <w:t>Atsižvelgta</w:t>
            </w:r>
          </w:p>
          <w:p w14:paraId="7FF17B72" w14:textId="77777777" w:rsidR="0079163E" w:rsidRDefault="0079163E" w:rsidP="00B83806">
            <w:pPr>
              <w:tabs>
                <w:tab w:val="left" w:pos="5880"/>
              </w:tabs>
              <w:rPr>
                <w:bCs/>
                <w:szCs w:val="24"/>
              </w:rPr>
            </w:pPr>
            <w:r w:rsidRPr="0079163E">
              <w:rPr>
                <w:bCs/>
                <w:szCs w:val="24"/>
              </w:rPr>
              <w:t xml:space="preserve">Taisyklių </w:t>
            </w:r>
            <w:r>
              <w:rPr>
                <w:bCs/>
                <w:szCs w:val="24"/>
              </w:rPr>
              <w:t>119 punktas patikslintas ir išdėstytas taip:</w:t>
            </w:r>
          </w:p>
          <w:p w14:paraId="6DA7F0F1" w14:textId="63128FDA" w:rsidR="0079163E" w:rsidRPr="0079163E" w:rsidRDefault="001205ED" w:rsidP="001205ED">
            <w:pPr>
              <w:rPr>
                <w:bCs/>
                <w:szCs w:val="24"/>
              </w:rPr>
            </w:pPr>
            <w:r w:rsidRPr="00A66E5E">
              <w:rPr>
                <w:bCs/>
                <w:szCs w:val="24"/>
              </w:rPr>
              <w:t xml:space="preserve">„119. PSO neužtikrinus sistemos naudotojui nuolatinių perdavimo pajėgumų, iš anksto </w:t>
            </w:r>
            <w:r w:rsidRPr="00382E2B">
              <w:rPr>
                <w:rFonts w:asciiTheme="minorHAnsi" w:hAnsiTheme="minorHAnsi"/>
                <w:strike/>
              </w:rPr>
              <w:t>ribojimą suderinus ar nesuderinus su</w:t>
            </w:r>
            <w:r>
              <w:rPr>
                <w:rFonts w:asciiTheme="minorHAnsi" w:hAnsiTheme="minorHAnsi"/>
              </w:rPr>
              <w:t xml:space="preserve"> </w:t>
            </w:r>
            <w:r w:rsidRPr="00382E2B">
              <w:rPr>
                <w:b/>
                <w:szCs w:val="24"/>
              </w:rPr>
              <w:t>neinformavus</w:t>
            </w:r>
            <w:r w:rsidRPr="00A66E5E">
              <w:rPr>
                <w:bCs/>
                <w:szCs w:val="24"/>
              </w:rPr>
              <w:t xml:space="preserve"> sistemos naudotojo, </w:t>
            </w:r>
            <w:r w:rsidRPr="00382E2B">
              <w:rPr>
                <w:bCs/>
                <w:strike/>
                <w:szCs w:val="24"/>
              </w:rPr>
              <w:t>sistemos naudotojas</w:t>
            </w:r>
            <w:r w:rsidRPr="00A66E5E">
              <w:rPr>
                <w:bCs/>
                <w:szCs w:val="24"/>
              </w:rPr>
              <w:t xml:space="preserve"> PSO </w:t>
            </w:r>
            <w:r w:rsidRPr="00382E2B">
              <w:rPr>
                <w:b/>
                <w:szCs w:val="24"/>
              </w:rPr>
              <w:t xml:space="preserve">už visus nuolatinių perdavimo pajėgumų ribojimus apskaičiuoja sistemos naudotojams mokėtiną sumą </w:t>
            </w:r>
            <w:r w:rsidRPr="00382E2B">
              <w:rPr>
                <w:bCs/>
                <w:strike/>
                <w:szCs w:val="24"/>
              </w:rPr>
              <w:t>pateikia sąskaitą už nuolatinių perdavimo pajėgumų ribojimą. Sąskaita už nuolatinių perdavimo pajėgumų ribojimą per ataskaitinį laikotarpį pateikiama iki 7-os po ataskaitinio laikotarpio kalendorinės dienos</w:t>
            </w:r>
            <w:r w:rsidRPr="00A66E5E">
              <w:rPr>
                <w:bCs/>
                <w:szCs w:val="24"/>
              </w:rPr>
              <w:t>.“</w:t>
            </w:r>
          </w:p>
        </w:tc>
      </w:tr>
      <w:tr w:rsidR="00846AD3" w:rsidRPr="005F3ED9" w14:paraId="2893F76B" w14:textId="77777777" w:rsidTr="005F3ED9">
        <w:trPr>
          <w:trHeight w:val="2258"/>
        </w:trPr>
        <w:tc>
          <w:tcPr>
            <w:tcW w:w="713" w:type="dxa"/>
          </w:tcPr>
          <w:p w14:paraId="4FFF9405" w14:textId="4DD1334C" w:rsidR="00846AD3" w:rsidRPr="005F3ED9" w:rsidRDefault="005F3ED9" w:rsidP="005F3ED9">
            <w:pPr>
              <w:tabs>
                <w:tab w:val="clear" w:pos="720"/>
                <w:tab w:val="left" w:pos="360"/>
              </w:tabs>
              <w:jc w:val="left"/>
              <w:rPr>
                <w:bCs/>
                <w:szCs w:val="24"/>
              </w:rPr>
            </w:pPr>
            <w:r w:rsidRPr="005F3ED9">
              <w:rPr>
                <w:bCs/>
                <w:szCs w:val="24"/>
              </w:rPr>
              <w:lastRenderedPageBreak/>
              <w:t>6.2.</w:t>
            </w:r>
          </w:p>
        </w:tc>
        <w:tc>
          <w:tcPr>
            <w:tcW w:w="7257" w:type="dxa"/>
            <w:gridSpan w:val="2"/>
          </w:tcPr>
          <w:p w14:paraId="1ADE52F1" w14:textId="419AE2CD" w:rsidR="00846AD3" w:rsidRPr="00696FC5" w:rsidRDefault="005F3ED9" w:rsidP="00053F45">
            <w:pPr>
              <w:tabs>
                <w:tab w:val="left" w:pos="5880"/>
              </w:tabs>
              <w:rPr>
                <w:bCs/>
                <w:szCs w:val="24"/>
              </w:rPr>
            </w:pPr>
            <w:r w:rsidRPr="00696FC5">
              <w:rPr>
                <w:bCs/>
                <w:szCs w:val="24"/>
              </w:rPr>
              <w:t>Siekiant</w:t>
            </w:r>
            <w:r w:rsidR="0061591A" w:rsidRPr="00696FC5">
              <w:rPr>
                <w:bCs/>
                <w:szCs w:val="24"/>
              </w:rPr>
              <w:t xml:space="preserve"> </w:t>
            </w:r>
            <w:r w:rsidRPr="00696FC5">
              <w:rPr>
                <w:bCs/>
                <w:szCs w:val="24"/>
              </w:rPr>
              <w:t>sumažinti</w:t>
            </w:r>
            <w:r w:rsidR="0061591A" w:rsidRPr="00696FC5">
              <w:rPr>
                <w:bCs/>
                <w:szCs w:val="24"/>
              </w:rPr>
              <w:t xml:space="preserve"> </w:t>
            </w:r>
            <w:r w:rsidRPr="00696FC5">
              <w:rPr>
                <w:bCs/>
                <w:szCs w:val="24"/>
              </w:rPr>
              <w:t>administracinę</w:t>
            </w:r>
            <w:r w:rsidR="0061591A" w:rsidRPr="00696FC5">
              <w:rPr>
                <w:bCs/>
                <w:szCs w:val="24"/>
              </w:rPr>
              <w:t xml:space="preserve"> </w:t>
            </w:r>
            <w:r w:rsidRPr="00696FC5">
              <w:rPr>
                <w:bCs/>
                <w:szCs w:val="24"/>
              </w:rPr>
              <w:t>naštą</w:t>
            </w:r>
            <w:r w:rsidR="0061591A" w:rsidRPr="00696FC5">
              <w:rPr>
                <w:bCs/>
                <w:szCs w:val="24"/>
              </w:rPr>
              <w:t xml:space="preserve"> </w:t>
            </w:r>
            <w:r w:rsidRPr="00696FC5">
              <w:rPr>
                <w:bCs/>
                <w:szCs w:val="24"/>
              </w:rPr>
              <w:t>sistemos</w:t>
            </w:r>
            <w:r w:rsidR="0061591A" w:rsidRPr="00696FC5">
              <w:rPr>
                <w:bCs/>
                <w:szCs w:val="24"/>
              </w:rPr>
              <w:t xml:space="preserve"> </w:t>
            </w:r>
            <w:r w:rsidRPr="00696FC5">
              <w:rPr>
                <w:bCs/>
                <w:szCs w:val="24"/>
              </w:rPr>
              <w:t>naudotojui,   suvienodinti 119 ir 120 punktuose aprašytiems atvejams išdėstytas sąlygas dėl sistemos naudotojams grąžintinos sumos administravimo   procedūros   ir atlikti Taisyklių patikslinimus,</w:t>
            </w:r>
            <w:r w:rsidR="00582405" w:rsidRPr="00696FC5">
              <w:rPr>
                <w:bCs/>
                <w:szCs w:val="24"/>
              </w:rPr>
              <w:t xml:space="preserve"> </w:t>
            </w:r>
            <w:r w:rsidRPr="00696FC5">
              <w:rPr>
                <w:bCs/>
                <w:szCs w:val="24"/>
              </w:rPr>
              <w:t>kur</w:t>
            </w:r>
            <w:r w:rsidR="00582405" w:rsidRPr="00696FC5">
              <w:rPr>
                <w:bCs/>
                <w:szCs w:val="24"/>
              </w:rPr>
              <w:t xml:space="preserve"> </w:t>
            </w:r>
            <w:r w:rsidRPr="00696FC5">
              <w:rPr>
                <w:bCs/>
                <w:szCs w:val="24"/>
              </w:rPr>
              <w:t>būtina,</w:t>
            </w:r>
            <w:r w:rsidR="0061591A" w:rsidRPr="00696FC5">
              <w:rPr>
                <w:bCs/>
                <w:szCs w:val="24"/>
              </w:rPr>
              <w:t xml:space="preserve"> </w:t>
            </w:r>
            <w:r w:rsidRPr="00696FC5">
              <w:rPr>
                <w:bCs/>
                <w:szCs w:val="24"/>
              </w:rPr>
              <w:t>priskiriant</w:t>
            </w:r>
            <w:r w:rsidR="0061591A" w:rsidRPr="00696FC5">
              <w:rPr>
                <w:bCs/>
                <w:szCs w:val="24"/>
              </w:rPr>
              <w:t xml:space="preserve"> </w:t>
            </w:r>
            <w:r w:rsidRPr="00696FC5">
              <w:rPr>
                <w:bCs/>
                <w:szCs w:val="24"/>
              </w:rPr>
              <w:t>PSO kompetencijai</w:t>
            </w:r>
            <w:r w:rsidR="00582405" w:rsidRPr="00696FC5">
              <w:rPr>
                <w:bCs/>
                <w:szCs w:val="24"/>
              </w:rPr>
              <w:t xml:space="preserve"> </w:t>
            </w:r>
            <w:r w:rsidRPr="00696FC5">
              <w:rPr>
                <w:bCs/>
                <w:szCs w:val="24"/>
              </w:rPr>
              <w:t>grąžintinos</w:t>
            </w:r>
            <w:r w:rsidR="00582405" w:rsidRPr="00696FC5">
              <w:rPr>
                <w:bCs/>
                <w:szCs w:val="24"/>
              </w:rPr>
              <w:t xml:space="preserve"> </w:t>
            </w:r>
            <w:r w:rsidRPr="00696FC5">
              <w:rPr>
                <w:bCs/>
                <w:szCs w:val="24"/>
              </w:rPr>
              <w:t>sumos</w:t>
            </w:r>
            <w:r w:rsidR="00582405" w:rsidRPr="00696FC5">
              <w:rPr>
                <w:bCs/>
                <w:szCs w:val="24"/>
              </w:rPr>
              <w:t xml:space="preserve"> </w:t>
            </w:r>
            <w:r w:rsidRPr="00696FC5">
              <w:rPr>
                <w:bCs/>
                <w:szCs w:val="24"/>
              </w:rPr>
              <w:t>už apribotus   pajėgumus   apskaičiavimą  ir sistemos naudotojo informavimą.</w:t>
            </w:r>
          </w:p>
        </w:tc>
        <w:tc>
          <w:tcPr>
            <w:tcW w:w="7226" w:type="dxa"/>
          </w:tcPr>
          <w:p w14:paraId="1D788AC0" w14:textId="77777777" w:rsidR="00846AD3" w:rsidRDefault="0079163E" w:rsidP="00B83806">
            <w:pPr>
              <w:tabs>
                <w:tab w:val="left" w:pos="5880"/>
              </w:tabs>
              <w:rPr>
                <w:bCs/>
                <w:szCs w:val="24"/>
              </w:rPr>
            </w:pPr>
            <w:r>
              <w:rPr>
                <w:bCs/>
                <w:szCs w:val="24"/>
              </w:rPr>
              <w:t>Atsižvelgta</w:t>
            </w:r>
          </w:p>
          <w:p w14:paraId="6E3823A9" w14:textId="265DE169" w:rsidR="0079163E" w:rsidRDefault="0079163E" w:rsidP="00B83806">
            <w:pPr>
              <w:tabs>
                <w:tab w:val="left" w:pos="5880"/>
              </w:tabs>
              <w:rPr>
                <w:bCs/>
                <w:szCs w:val="24"/>
              </w:rPr>
            </w:pPr>
            <w:r>
              <w:rPr>
                <w:bCs/>
                <w:szCs w:val="24"/>
              </w:rPr>
              <w:t>Žr. 6.1 pastabos vertinimą, taip pat Taisyklių 121 punkt</w:t>
            </w:r>
            <w:r w:rsidR="000214E1">
              <w:rPr>
                <w:bCs/>
                <w:szCs w:val="24"/>
              </w:rPr>
              <w:t xml:space="preserve">as </w:t>
            </w:r>
            <w:r>
              <w:rPr>
                <w:bCs/>
                <w:szCs w:val="24"/>
              </w:rPr>
              <w:t>patikslin</w:t>
            </w:r>
            <w:r w:rsidR="000214E1">
              <w:rPr>
                <w:bCs/>
                <w:szCs w:val="24"/>
              </w:rPr>
              <w:t xml:space="preserve">tas </w:t>
            </w:r>
            <w:r>
              <w:rPr>
                <w:bCs/>
                <w:szCs w:val="24"/>
              </w:rPr>
              <w:t>ir išdėstyt</w:t>
            </w:r>
            <w:r w:rsidR="000214E1">
              <w:rPr>
                <w:bCs/>
                <w:szCs w:val="24"/>
              </w:rPr>
              <w:t xml:space="preserve">as </w:t>
            </w:r>
            <w:r>
              <w:rPr>
                <w:bCs/>
                <w:szCs w:val="24"/>
              </w:rPr>
              <w:t>taip:</w:t>
            </w:r>
          </w:p>
          <w:p w14:paraId="4DE51028" w14:textId="0A966FFE" w:rsidR="0079163E" w:rsidRPr="007C1188" w:rsidRDefault="0079163E" w:rsidP="00B83806">
            <w:pPr>
              <w:tabs>
                <w:tab w:val="left" w:pos="5880"/>
              </w:tabs>
              <w:rPr>
                <w:bCs/>
                <w:szCs w:val="24"/>
              </w:rPr>
            </w:pPr>
            <w:r>
              <w:rPr>
                <w:bCs/>
                <w:szCs w:val="24"/>
              </w:rPr>
              <w:t xml:space="preserve">„121. </w:t>
            </w:r>
            <w:r w:rsidRPr="0079163E">
              <w:rPr>
                <w:bCs/>
                <w:szCs w:val="24"/>
              </w:rPr>
              <w:t xml:space="preserve">PSO, </w:t>
            </w:r>
            <w:r w:rsidRPr="007C1188">
              <w:rPr>
                <w:bCs/>
                <w:strike/>
                <w:szCs w:val="24"/>
              </w:rPr>
              <w:t>gavęs iš sistemos naudotojo sąskaitą,</w:t>
            </w:r>
            <w:r w:rsidRPr="0079163E">
              <w:rPr>
                <w:bCs/>
                <w:szCs w:val="24"/>
              </w:rPr>
              <w:t xml:space="preserve"> pagal Taisyklių 119 punktą, </w:t>
            </w:r>
            <w:r w:rsidR="007C1188" w:rsidRPr="0079163E">
              <w:rPr>
                <w:b/>
                <w:szCs w:val="24"/>
              </w:rPr>
              <w:t>apskaiči</w:t>
            </w:r>
            <w:r w:rsidR="007C1188">
              <w:rPr>
                <w:b/>
                <w:szCs w:val="24"/>
              </w:rPr>
              <w:t>avęs</w:t>
            </w:r>
            <w:r w:rsidR="007C1188" w:rsidRPr="0079163E">
              <w:rPr>
                <w:b/>
                <w:szCs w:val="24"/>
              </w:rPr>
              <w:t xml:space="preserve"> sistemos naudotojams </w:t>
            </w:r>
            <w:r w:rsidR="007C1188">
              <w:rPr>
                <w:b/>
                <w:szCs w:val="24"/>
              </w:rPr>
              <w:t>mokėtiną</w:t>
            </w:r>
            <w:r w:rsidR="007C1188" w:rsidRPr="0079163E">
              <w:rPr>
                <w:b/>
                <w:szCs w:val="24"/>
              </w:rPr>
              <w:t xml:space="preserve"> sumą</w:t>
            </w:r>
            <w:r w:rsidR="007C1188" w:rsidRPr="0079163E">
              <w:rPr>
                <w:bCs/>
                <w:szCs w:val="24"/>
              </w:rPr>
              <w:t xml:space="preserve"> </w:t>
            </w:r>
            <w:r w:rsidRPr="0079163E">
              <w:rPr>
                <w:bCs/>
                <w:szCs w:val="24"/>
              </w:rPr>
              <w:t xml:space="preserve">už ribotus nuolatinius perdavimo pajėgumus </w:t>
            </w:r>
            <w:r w:rsidRPr="007C1188">
              <w:rPr>
                <w:bCs/>
                <w:strike/>
                <w:szCs w:val="24"/>
              </w:rPr>
              <w:t>per ataskaitinį laikotarpį, turi ją apmokėti iki 14-os mėnesio, einančio po ataskaitinio laikotarpio, kalendorinės dienos</w:t>
            </w:r>
            <w:r w:rsidR="007C1188" w:rsidRPr="007C1188">
              <w:rPr>
                <w:bCs/>
                <w:szCs w:val="24"/>
              </w:rPr>
              <w:t xml:space="preserve"> </w:t>
            </w:r>
            <w:r w:rsidR="007C1188" w:rsidRPr="007C1188">
              <w:rPr>
                <w:b/>
                <w:szCs w:val="24"/>
              </w:rPr>
              <w:t>grąžintiną sumą už pritaikytus ribojimus apskaičiuoja ir grąžina sistemos naudotojui ne vėliau nei per 30 kalendorinių dienų dujų metams pasibaigus</w:t>
            </w:r>
            <w:r w:rsidRPr="0079163E">
              <w:rPr>
                <w:bCs/>
                <w:szCs w:val="24"/>
              </w:rPr>
              <w:t>.</w:t>
            </w:r>
            <w:r w:rsidR="007C1188">
              <w:rPr>
                <w:bCs/>
                <w:szCs w:val="24"/>
              </w:rPr>
              <w:t>“</w:t>
            </w:r>
          </w:p>
          <w:p w14:paraId="5E20BA32" w14:textId="1434F004" w:rsidR="0079163E" w:rsidRPr="005F3ED9" w:rsidRDefault="0079163E" w:rsidP="00B83806">
            <w:pPr>
              <w:tabs>
                <w:tab w:val="left" w:pos="5880"/>
              </w:tabs>
              <w:rPr>
                <w:bCs/>
                <w:szCs w:val="24"/>
              </w:rPr>
            </w:pPr>
          </w:p>
        </w:tc>
      </w:tr>
      <w:tr w:rsidR="005F3ED9" w:rsidRPr="005F3ED9" w14:paraId="26120A4B" w14:textId="77777777" w:rsidTr="0068270D">
        <w:trPr>
          <w:trHeight w:val="1833"/>
        </w:trPr>
        <w:tc>
          <w:tcPr>
            <w:tcW w:w="713" w:type="dxa"/>
          </w:tcPr>
          <w:p w14:paraId="48AD9FB5" w14:textId="76E29C62" w:rsidR="005F3ED9" w:rsidRPr="005F3ED9" w:rsidRDefault="005F3ED9" w:rsidP="005F3ED9">
            <w:pPr>
              <w:tabs>
                <w:tab w:val="clear" w:pos="720"/>
                <w:tab w:val="left" w:pos="360"/>
              </w:tabs>
              <w:jc w:val="left"/>
              <w:rPr>
                <w:bCs/>
                <w:szCs w:val="24"/>
              </w:rPr>
            </w:pPr>
            <w:r>
              <w:rPr>
                <w:bCs/>
                <w:szCs w:val="24"/>
              </w:rPr>
              <w:t>6.3.</w:t>
            </w:r>
          </w:p>
        </w:tc>
        <w:tc>
          <w:tcPr>
            <w:tcW w:w="7257" w:type="dxa"/>
            <w:gridSpan w:val="2"/>
          </w:tcPr>
          <w:p w14:paraId="47D4B194" w14:textId="1F0182E0" w:rsidR="005F3ED9" w:rsidRPr="00696FC5" w:rsidRDefault="00433D00" w:rsidP="00053F45">
            <w:pPr>
              <w:tabs>
                <w:tab w:val="left" w:pos="5880"/>
              </w:tabs>
              <w:rPr>
                <w:bCs/>
                <w:szCs w:val="24"/>
              </w:rPr>
            </w:pPr>
            <w:r w:rsidRPr="00696FC5">
              <w:rPr>
                <w:bCs/>
                <w:szCs w:val="24"/>
              </w:rPr>
              <w:t>Siekiant aiškumo, Taisyklių 120 punkte išbraukti nuorodą į 119 punktą ir pirmą 120 punkto</w:t>
            </w:r>
            <w:r w:rsidR="00696FC5">
              <w:rPr>
                <w:bCs/>
                <w:szCs w:val="24"/>
              </w:rPr>
              <w:t xml:space="preserve"> </w:t>
            </w:r>
            <w:r w:rsidRPr="00696FC5">
              <w:rPr>
                <w:bCs/>
                <w:szCs w:val="24"/>
              </w:rPr>
              <w:t>dalį išdėstyti taip –</w:t>
            </w:r>
            <w:r w:rsidR="0090574A" w:rsidRPr="00696FC5">
              <w:rPr>
                <w:bCs/>
                <w:szCs w:val="24"/>
              </w:rPr>
              <w:t xml:space="preserve"> </w:t>
            </w:r>
            <w:r w:rsidRPr="00696FC5">
              <w:rPr>
                <w:bCs/>
                <w:szCs w:val="24"/>
              </w:rPr>
              <w:t>„Pajėgumų ribojimo atvejais, nurodytais</w:t>
            </w:r>
            <w:r w:rsidR="003A7DEB" w:rsidRPr="00696FC5">
              <w:rPr>
                <w:bCs/>
                <w:szCs w:val="24"/>
              </w:rPr>
              <w:t xml:space="preserve"> </w:t>
            </w:r>
            <w:proofErr w:type="spellStart"/>
            <w:r w:rsidRPr="00696FC5">
              <w:rPr>
                <w:bCs/>
                <w:i/>
                <w:iCs/>
                <w:szCs w:val="24"/>
              </w:rPr>
              <w:t>Error</w:t>
            </w:r>
            <w:proofErr w:type="spellEnd"/>
            <w:r w:rsidRPr="00696FC5">
              <w:rPr>
                <w:bCs/>
                <w:i/>
                <w:iCs/>
                <w:szCs w:val="24"/>
              </w:rPr>
              <w:t xml:space="preserve">: </w:t>
            </w:r>
            <w:proofErr w:type="spellStart"/>
            <w:r w:rsidRPr="00696FC5">
              <w:rPr>
                <w:bCs/>
                <w:i/>
                <w:iCs/>
                <w:szCs w:val="24"/>
              </w:rPr>
              <w:t>Reference</w:t>
            </w:r>
            <w:proofErr w:type="spellEnd"/>
            <w:r w:rsidRPr="00696FC5">
              <w:rPr>
                <w:bCs/>
                <w:i/>
                <w:iCs/>
                <w:szCs w:val="24"/>
              </w:rPr>
              <w:t xml:space="preserve"> </w:t>
            </w:r>
            <w:proofErr w:type="spellStart"/>
            <w:r w:rsidRPr="00696FC5">
              <w:rPr>
                <w:bCs/>
                <w:i/>
                <w:iCs/>
                <w:szCs w:val="24"/>
              </w:rPr>
              <w:t>source</w:t>
            </w:r>
            <w:proofErr w:type="spellEnd"/>
            <w:r w:rsidRPr="00696FC5">
              <w:rPr>
                <w:bCs/>
                <w:i/>
                <w:iCs/>
                <w:szCs w:val="24"/>
              </w:rPr>
              <w:t xml:space="preserve"> </w:t>
            </w:r>
            <w:proofErr w:type="spellStart"/>
            <w:r w:rsidRPr="00696FC5">
              <w:rPr>
                <w:bCs/>
                <w:i/>
                <w:iCs/>
                <w:szCs w:val="24"/>
              </w:rPr>
              <w:t>not</w:t>
            </w:r>
            <w:proofErr w:type="spellEnd"/>
            <w:r w:rsidRPr="00696FC5">
              <w:rPr>
                <w:bCs/>
                <w:i/>
                <w:iCs/>
                <w:szCs w:val="24"/>
              </w:rPr>
              <w:t xml:space="preserve"> </w:t>
            </w:r>
            <w:proofErr w:type="spellStart"/>
            <w:r w:rsidRPr="00696FC5">
              <w:rPr>
                <w:bCs/>
                <w:i/>
                <w:iCs/>
                <w:szCs w:val="24"/>
              </w:rPr>
              <w:t>found</w:t>
            </w:r>
            <w:proofErr w:type="spellEnd"/>
            <w:r w:rsidRPr="00696FC5">
              <w:rPr>
                <w:bCs/>
                <w:szCs w:val="24"/>
              </w:rPr>
              <w:t>, PSO neprisiima atsakomybės ir atleidžiamas nuo įpareigojimo</w:t>
            </w:r>
            <w:r w:rsidRPr="00696FC5">
              <w:rPr>
                <w:bCs/>
                <w:strike/>
                <w:szCs w:val="24"/>
              </w:rPr>
              <w:t xml:space="preserve"> (pagal </w:t>
            </w:r>
            <w:proofErr w:type="spellStart"/>
            <w:r w:rsidRPr="00696FC5">
              <w:rPr>
                <w:bCs/>
                <w:strike/>
                <w:szCs w:val="24"/>
              </w:rPr>
              <w:t>Error</w:t>
            </w:r>
            <w:proofErr w:type="spellEnd"/>
            <w:r w:rsidRPr="00696FC5">
              <w:rPr>
                <w:bCs/>
                <w:strike/>
                <w:szCs w:val="24"/>
              </w:rPr>
              <w:t xml:space="preserve">: </w:t>
            </w:r>
            <w:proofErr w:type="spellStart"/>
            <w:r w:rsidRPr="00696FC5">
              <w:rPr>
                <w:bCs/>
                <w:strike/>
                <w:szCs w:val="24"/>
              </w:rPr>
              <w:t>Reference</w:t>
            </w:r>
            <w:proofErr w:type="spellEnd"/>
            <w:r w:rsidRPr="00696FC5">
              <w:rPr>
                <w:bCs/>
                <w:strike/>
                <w:szCs w:val="24"/>
              </w:rPr>
              <w:t xml:space="preserve"> </w:t>
            </w:r>
            <w:proofErr w:type="spellStart"/>
            <w:r w:rsidRPr="00696FC5">
              <w:rPr>
                <w:bCs/>
                <w:strike/>
                <w:szCs w:val="24"/>
              </w:rPr>
              <w:t>source</w:t>
            </w:r>
            <w:proofErr w:type="spellEnd"/>
            <w:r w:rsidRPr="00696FC5">
              <w:rPr>
                <w:bCs/>
                <w:strike/>
                <w:szCs w:val="24"/>
              </w:rPr>
              <w:t xml:space="preserve"> </w:t>
            </w:r>
            <w:proofErr w:type="spellStart"/>
            <w:r w:rsidRPr="00696FC5">
              <w:rPr>
                <w:bCs/>
                <w:strike/>
                <w:szCs w:val="24"/>
              </w:rPr>
              <w:t>not</w:t>
            </w:r>
            <w:proofErr w:type="spellEnd"/>
            <w:r w:rsidR="0090574A" w:rsidRPr="00696FC5">
              <w:rPr>
                <w:bCs/>
                <w:strike/>
                <w:szCs w:val="24"/>
              </w:rPr>
              <w:t xml:space="preserve"> </w:t>
            </w:r>
            <w:proofErr w:type="spellStart"/>
            <w:r w:rsidRPr="00696FC5">
              <w:rPr>
                <w:bCs/>
                <w:strike/>
                <w:szCs w:val="24"/>
              </w:rPr>
              <w:t>found</w:t>
            </w:r>
            <w:proofErr w:type="spellEnd"/>
            <w:r w:rsidRPr="00696FC5">
              <w:rPr>
                <w:bCs/>
                <w:strike/>
                <w:szCs w:val="24"/>
              </w:rPr>
              <w:t xml:space="preserve">  punktą)</w:t>
            </w:r>
            <w:r w:rsidRPr="00696FC5">
              <w:rPr>
                <w:bCs/>
                <w:szCs w:val="24"/>
              </w:rPr>
              <w:t xml:space="preserve">  sistemos naudotojams apmokėti dėl nuolatinių pajėgumų ribojimo galimai patirtus</w:t>
            </w:r>
            <w:r w:rsidR="0090574A" w:rsidRPr="00696FC5">
              <w:rPr>
                <w:bCs/>
                <w:szCs w:val="24"/>
              </w:rPr>
              <w:t xml:space="preserve"> </w:t>
            </w:r>
            <w:r w:rsidRPr="00696FC5">
              <w:rPr>
                <w:bCs/>
                <w:szCs w:val="24"/>
              </w:rPr>
              <w:t>nuostolius.</w:t>
            </w:r>
          </w:p>
        </w:tc>
        <w:tc>
          <w:tcPr>
            <w:tcW w:w="7226" w:type="dxa"/>
          </w:tcPr>
          <w:p w14:paraId="296BACD4" w14:textId="77777777" w:rsidR="00696FC5" w:rsidRPr="00696FC5" w:rsidRDefault="00696FC5" w:rsidP="00696FC5">
            <w:pPr>
              <w:tabs>
                <w:tab w:val="left" w:pos="5880"/>
              </w:tabs>
              <w:rPr>
                <w:b/>
                <w:szCs w:val="24"/>
              </w:rPr>
            </w:pPr>
            <w:r w:rsidRPr="00696FC5">
              <w:rPr>
                <w:b/>
                <w:szCs w:val="24"/>
              </w:rPr>
              <w:t>Atsižvelgta</w:t>
            </w:r>
          </w:p>
          <w:p w14:paraId="22D207D3" w14:textId="0A252710" w:rsidR="00696FC5" w:rsidRDefault="00696FC5" w:rsidP="00696FC5">
            <w:pPr>
              <w:tabs>
                <w:tab w:val="left" w:pos="5880"/>
              </w:tabs>
              <w:rPr>
                <w:bCs/>
                <w:szCs w:val="24"/>
              </w:rPr>
            </w:pPr>
            <w:r>
              <w:rPr>
                <w:bCs/>
                <w:szCs w:val="24"/>
              </w:rPr>
              <w:t>Taisyklių 120 punkto pirmas sakinys išdėstytas taip:</w:t>
            </w:r>
          </w:p>
          <w:p w14:paraId="2A8E6493" w14:textId="73A0FE04" w:rsidR="00696FC5" w:rsidRDefault="00696FC5" w:rsidP="00696FC5">
            <w:pPr>
              <w:tabs>
                <w:tab w:val="left" w:pos="5880"/>
              </w:tabs>
              <w:rPr>
                <w:bCs/>
                <w:szCs w:val="24"/>
              </w:rPr>
            </w:pPr>
            <w:r>
              <w:rPr>
                <w:bCs/>
                <w:szCs w:val="24"/>
              </w:rPr>
              <w:t xml:space="preserve">„120. </w:t>
            </w:r>
            <w:r w:rsidRPr="00696FC5">
              <w:rPr>
                <w:bCs/>
                <w:szCs w:val="24"/>
              </w:rPr>
              <w:t>Pajėgumų ribojimo atvejais, nurodytais XVIII SKYRI</w:t>
            </w:r>
            <w:r>
              <w:rPr>
                <w:bCs/>
                <w:szCs w:val="24"/>
              </w:rPr>
              <w:t>UJE</w:t>
            </w:r>
            <w:r w:rsidRPr="00696FC5">
              <w:rPr>
                <w:bCs/>
                <w:szCs w:val="24"/>
              </w:rPr>
              <w:t xml:space="preserve">, PSO neprisiima atsakomybės ir atleidžiamas nuo įpareigojimo </w:t>
            </w:r>
            <w:r w:rsidRPr="00696FC5">
              <w:rPr>
                <w:bCs/>
                <w:strike/>
                <w:szCs w:val="24"/>
              </w:rPr>
              <w:t xml:space="preserve">(pagal 119 punktą) </w:t>
            </w:r>
            <w:r w:rsidRPr="00696FC5">
              <w:rPr>
                <w:bCs/>
                <w:szCs w:val="24"/>
              </w:rPr>
              <w:t>sistemos naudotojams apmokėti dėl nuolatinių pajėgumų ribojimo galimai patirtus nuostolius.</w:t>
            </w:r>
            <w:r>
              <w:rPr>
                <w:bCs/>
                <w:szCs w:val="24"/>
              </w:rPr>
              <w:t>…&gt;“</w:t>
            </w:r>
          </w:p>
          <w:p w14:paraId="45AD57E7" w14:textId="77777777" w:rsidR="005F3ED9" w:rsidRPr="005F3ED9" w:rsidRDefault="005F3ED9" w:rsidP="00B83806">
            <w:pPr>
              <w:tabs>
                <w:tab w:val="left" w:pos="5880"/>
              </w:tabs>
              <w:rPr>
                <w:bCs/>
                <w:szCs w:val="24"/>
              </w:rPr>
            </w:pPr>
          </w:p>
        </w:tc>
      </w:tr>
      <w:tr w:rsidR="003A7DEB" w:rsidRPr="005F3ED9" w14:paraId="5B1CAAE3" w14:textId="77777777" w:rsidTr="005F3ED9">
        <w:trPr>
          <w:trHeight w:val="2258"/>
        </w:trPr>
        <w:tc>
          <w:tcPr>
            <w:tcW w:w="713" w:type="dxa"/>
          </w:tcPr>
          <w:p w14:paraId="3DC6D8FE" w14:textId="11079C8C" w:rsidR="003A7DEB" w:rsidRDefault="003A7DEB" w:rsidP="005F3ED9">
            <w:pPr>
              <w:tabs>
                <w:tab w:val="clear" w:pos="720"/>
                <w:tab w:val="left" w:pos="360"/>
              </w:tabs>
              <w:jc w:val="left"/>
              <w:rPr>
                <w:bCs/>
                <w:szCs w:val="24"/>
              </w:rPr>
            </w:pPr>
            <w:r>
              <w:rPr>
                <w:bCs/>
                <w:szCs w:val="24"/>
              </w:rPr>
              <w:t>6.4</w:t>
            </w:r>
          </w:p>
        </w:tc>
        <w:tc>
          <w:tcPr>
            <w:tcW w:w="7257" w:type="dxa"/>
            <w:gridSpan w:val="2"/>
          </w:tcPr>
          <w:p w14:paraId="107F59B9" w14:textId="52A178A0" w:rsidR="003A7DEB" w:rsidRPr="00696FC5" w:rsidRDefault="0068270D" w:rsidP="00053F45">
            <w:pPr>
              <w:tabs>
                <w:tab w:val="left" w:pos="5880"/>
              </w:tabs>
              <w:rPr>
                <w:bCs/>
                <w:szCs w:val="24"/>
              </w:rPr>
            </w:pPr>
            <w:r w:rsidRPr="00696FC5">
              <w:rPr>
                <w:bCs/>
                <w:szCs w:val="24"/>
              </w:rPr>
              <w:t>Projekto 120 punktas patikslintas, numatant, kad sistemos naudotojas atleidžiamas nuo</w:t>
            </w:r>
            <w:r w:rsidR="00696FC5">
              <w:rPr>
                <w:bCs/>
                <w:szCs w:val="24"/>
              </w:rPr>
              <w:t xml:space="preserve"> </w:t>
            </w:r>
            <w:r w:rsidRPr="00696FC5">
              <w:rPr>
                <w:bCs/>
                <w:szCs w:val="24"/>
              </w:rPr>
              <w:t>pareigos apmokėti už nuolatinius perdavimo pajėgumus tik už pritaikytus ribojimus viršijant 14 dienų</w:t>
            </w:r>
            <w:r w:rsidR="00696FC5">
              <w:rPr>
                <w:bCs/>
                <w:szCs w:val="24"/>
              </w:rPr>
              <w:t xml:space="preserve"> </w:t>
            </w:r>
            <w:r w:rsidRPr="00696FC5">
              <w:rPr>
                <w:bCs/>
                <w:szCs w:val="24"/>
              </w:rPr>
              <w:t>per dujų metus terminą, kuriuos lėmė PSO veiksmai. Tarybos vertinimu, skaičiuojant 14 dienų</w:t>
            </w:r>
            <w:r w:rsidR="00696FC5">
              <w:rPr>
                <w:bCs/>
                <w:szCs w:val="24"/>
              </w:rPr>
              <w:t xml:space="preserve"> </w:t>
            </w:r>
            <w:r w:rsidRPr="00696FC5">
              <w:rPr>
                <w:bCs/>
                <w:szCs w:val="24"/>
              </w:rPr>
              <w:t>terminą, neturėtų būti diferencijuojamas ribojimo laikas pagal   ribojimo  priežastis,  kadangi nepriklausomai   kurio   perdavimo sistemos operatoriaus  veiksmai   nulėmė   ribojimus, sistemos</w:t>
            </w:r>
            <w:r w:rsidR="00696FC5">
              <w:rPr>
                <w:bCs/>
                <w:szCs w:val="24"/>
              </w:rPr>
              <w:t xml:space="preserve"> </w:t>
            </w:r>
            <w:r w:rsidRPr="00696FC5">
              <w:rPr>
                <w:bCs/>
                <w:szCs w:val="24"/>
              </w:rPr>
              <w:t>naudotojas neturėjo   galimybės  pasinaudoti turimais nuolatiniais pajėgumais. Atsižvelgiant į tai, siūlome pakeitimo atsisakyti.</w:t>
            </w:r>
          </w:p>
        </w:tc>
        <w:tc>
          <w:tcPr>
            <w:tcW w:w="7226" w:type="dxa"/>
          </w:tcPr>
          <w:p w14:paraId="01CA67FE" w14:textId="77777777" w:rsidR="003A7DEB" w:rsidRPr="00696FC5" w:rsidRDefault="00696FC5" w:rsidP="00B83806">
            <w:pPr>
              <w:tabs>
                <w:tab w:val="left" w:pos="5880"/>
              </w:tabs>
              <w:rPr>
                <w:b/>
                <w:szCs w:val="24"/>
              </w:rPr>
            </w:pPr>
            <w:r w:rsidRPr="00696FC5">
              <w:rPr>
                <w:b/>
                <w:szCs w:val="24"/>
              </w:rPr>
              <w:t>Atsižvelgta</w:t>
            </w:r>
          </w:p>
          <w:p w14:paraId="4E5FFF31" w14:textId="5AD20E45" w:rsidR="00696FC5" w:rsidRDefault="00696FC5" w:rsidP="00B83806">
            <w:pPr>
              <w:tabs>
                <w:tab w:val="left" w:pos="5880"/>
              </w:tabs>
              <w:rPr>
                <w:bCs/>
                <w:szCs w:val="24"/>
              </w:rPr>
            </w:pPr>
            <w:r>
              <w:rPr>
                <w:bCs/>
                <w:szCs w:val="24"/>
              </w:rPr>
              <w:t>Taisyklių 120 punkto antras sakinys išdėstytas taip:</w:t>
            </w:r>
          </w:p>
          <w:p w14:paraId="00A1D2B2" w14:textId="18C6F92A" w:rsidR="00696FC5" w:rsidRPr="005F3ED9" w:rsidRDefault="00696FC5" w:rsidP="00B83806">
            <w:pPr>
              <w:tabs>
                <w:tab w:val="left" w:pos="5880"/>
              </w:tabs>
              <w:rPr>
                <w:bCs/>
                <w:szCs w:val="24"/>
              </w:rPr>
            </w:pPr>
            <w:r>
              <w:rPr>
                <w:bCs/>
                <w:szCs w:val="24"/>
              </w:rPr>
              <w:t>„120. &lt;…</w:t>
            </w:r>
            <w:r w:rsidRPr="00696FC5">
              <w:rPr>
                <w:bCs/>
                <w:szCs w:val="24"/>
              </w:rPr>
              <w:t>. Sistemos naudotojas atleidžiamas nuo pareigos apmokėti už nuolatinius perdavimo pajėgumus tik tuo atveju, jei nuolatinių perdavimo pajėgumų ribojimas užtrunka ilgiau nei 14 dienų per dujų metus ir tik už pritaikytus ribojimus viršijant 14 dienų per dujų metus terminą</w:t>
            </w:r>
            <w:r w:rsidRPr="00696FC5">
              <w:rPr>
                <w:bCs/>
                <w:strike/>
                <w:szCs w:val="24"/>
              </w:rPr>
              <w:t>, kuriuos lėmė PSO veiksmai</w:t>
            </w:r>
            <w:r w:rsidRPr="00696FC5">
              <w:rPr>
                <w:bCs/>
                <w:szCs w:val="24"/>
              </w:rPr>
              <w:t xml:space="preserve">. </w:t>
            </w:r>
            <w:r>
              <w:rPr>
                <w:bCs/>
                <w:szCs w:val="24"/>
              </w:rPr>
              <w:t>…&gt;“</w:t>
            </w:r>
          </w:p>
        </w:tc>
      </w:tr>
      <w:tr w:rsidR="0068270D" w:rsidRPr="005F3ED9" w14:paraId="6A764356" w14:textId="77777777" w:rsidTr="005F3ED9">
        <w:trPr>
          <w:trHeight w:val="2258"/>
        </w:trPr>
        <w:tc>
          <w:tcPr>
            <w:tcW w:w="713" w:type="dxa"/>
          </w:tcPr>
          <w:p w14:paraId="0C7AA9F6" w14:textId="0CF55CB7" w:rsidR="0068270D" w:rsidRDefault="0068270D" w:rsidP="005F3ED9">
            <w:pPr>
              <w:tabs>
                <w:tab w:val="clear" w:pos="720"/>
                <w:tab w:val="left" w:pos="360"/>
              </w:tabs>
              <w:jc w:val="left"/>
              <w:rPr>
                <w:bCs/>
                <w:szCs w:val="24"/>
              </w:rPr>
            </w:pPr>
            <w:r>
              <w:rPr>
                <w:bCs/>
                <w:szCs w:val="24"/>
              </w:rPr>
              <w:lastRenderedPageBreak/>
              <w:t>6.5</w:t>
            </w:r>
          </w:p>
        </w:tc>
        <w:tc>
          <w:tcPr>
            <w:tcW w:w="7257" w:type="dxa"/>
            <w:gridSpan w:val="2"/>
          </w:tcPr>
          <w:p w14:paraId="58D6F072" w14:textId="320E1654" w:rsidR="0068270D" w:rsidRPr="000214E1" w:rsidRDefault="00EB1656" w:rsidP="00053F45">
            <w:pPr>
              <w:tabs>
                <w:tab w:val="left" w:pos="5880"/>
              </w:tabs>
              <w:rPr>
                <w:bCs/>
                <w:szCs w:val="24"/>
              </w:rPr>
            </w:pPr>
            <w:r w:rsidRPr="00696FC5">
              <w:rPr>
                <w:bCs/>
                <w:szCs w:val="24"/>
              </w:rPr>
              <w:t xml:space="preserve">Projekto 120.2.3 punkte numatyta, kad </w:t>
            </w:r>
            <w:proofErr w:type="spellStart"/>
            <w:r w:rsidRPr="00696FC5">
              <w:rPr>
                <w:bCs/>
                <w:szCs w:val="24"/>
              </w:rPr>
              <w:t>KPmax</w:t>
            </w:r>
            <w:proofErr w:type="spellEnd"/>
            <w:r w:rsidRPr="00696FC5">
              <w:rPr>
                <w:bCs/>
                <w:szCs w:val="24"/>
              </w:rPr>
              <w:t xml:space="preserve"> yra sistemos naudotojo didžiausia pateikta</w:t>
            </w:r>
            <w:r w:rsidR="000214E1">
              <w:rPr>
                <w:bCs/>
                <w:szCs w:val="24"/>
              </w:rPr>
              <w:t xml:space="preserve"> </w:t>
            </w:r>
            <w:r w:rsidRPr="00696FC5">
              <w:rPr>
                <w:bCs/>
                <w:szCs w:val="24"/>
              </w:rPr>
              <w:t>kiekio paraiška ar patikslinta kiekio paraiška kurią PSO apribojo. Iš pateikto apibrėžimo nėra aišku, ar</w:t>
            </w:r>
            <w:r w:rsidR="000214E1">
              <w:rPr>
                <w:bCs/>
                <w:szCs w:val="24"/>
              </w:rPr>
              <w:t xml:space="preserve"> </w:t>
            </w:r>
            <w:r w:rsidRPr="00696FC5">
              <w:rPr>
                <w:bCs/>
                <w:szCs w:val="24"/>
              </w:rPr>
              <w:t xml:space="preserve">tai sistemos naudotojo pateikta paraiška ar tai jau PSO apribota patikslinta kiekio paraiška. </w:t>
            </w:r>
            <w:r w:rsidRPr="000214E1">
              <w:rPr>
                <w:bCs/>
                <w:szCs w:val="24"/>
              </w:rPr>
              <w:t>Siekiant</w:t>
            </w:r>
            <w:r w:rsidR="000214E1">
              <w:rPr>
                <w:bCs/>
                <w:szCs w:val="24"/>
              </w:rPr>
              <w:t xml:space="preserve"> </w:t>
            </w:r>
            <w:r w:rsidRPr="000214E1">
              <w:rPr>
                <w:bCs/>
                <w:szCs w:val="24"/>
              </w:rPr>
              <w:t>aiškumo, patikslinti Taisyklių 120.2.3 pirmą dalį, tikslinant „</w:t>
            </w:r>
            <w:proofErr w:type="spellStart"/>
            <w:r w:rsidRPr="000214E1">
              <w:rPr>
                <w:bCs/>
                <w:szCs w:val="24"/>
              </w:rPr>
              <w:t>KPmax</w:t>
            </w:r>
            <w:proofErr w:type="spellEnd"/>
            <w:r w:rsidRPr="000214E1">
              <w:rPr>
                <w:bCs/>
                <w:szCs w:val="24"/>
              </w:rPr>
              <w:t>“ apibrėžimą.</w:t>
            </w:r>
          </w:p>
        </w:tc>
        <w:tc>
          <w:tcPr>
            <w:tcW w:w="7226" w:type="dxa"/>
          </w:tcPr>
          <w:p w14:paraId="65018D0E" w14:textId="77777777" w:rsidR="0068270D" w:rsidRDefault="000214E1" w:rsidP="00B83806">
            <w:pPr>
              <w:tabs>
                <w:tab w:val="left" w:pos="5880"/>
              </w:tabs>
              <w:rPr>
                <w:bCs/>
                <w:szCs w:val="24"/>
              </w:rPr>
            </w:pPr>
            <w:r>
              <w:rPr>
                <w:bCs/>
                <w:szCs w:val="24"/>
              </w:rPr>
              <w:t>Atsižvelgta</w:t>
            </w:r>
          </w:p>
          <w:p w14:paraId="1A26DD9A" w14:textId="4F5E8511" w:rsidR="000214E1" w:rsidRDefault="000214E1" w:rsidP="000214E1">
            <w:pPr>
              <w:tabs>
                <w:tab w:val="left" w:pos="5880"/>
              </w:tabs>
              <w:rPr>
                <w:bCs/>
                <w:szCs w:val="24"/>
              </w:rPr>
            </w:pPr>
            <w:r>
              <w:rPr>
                <w:bCs/>
                <w:szCs w:val="24"/>
              </w:rPr>
              <w:t xml:space="preserve">Taisyklių 120.2.3 punkte </w:t>
            </w:r>
            <w:r w:rsidR="00C57AE6">
              <w:rPr>
                <w:bCs/>
                <w:szCs w:val="24"/>
              </w:rPr>
              <w:t xml:space="preserve">numatytas </w:t>
            </w:r>
            <w:proofErr w:type="spellStart"/>
            <w:r w:rsidR="00C57AE6">
              <w:rPr>
                <w:bCs/>
                <w:szCs w:val="24"/>
              </w:rPr>
              <w:t>KPmax</w:t>
            </w:r>
            <w:proofErr w:type="spellEnd"/>
            <w:r w:rsidR="00C57AE6">
              <w:rPr>
                <w:bCs/>
                <w:szCs w:val="24"/>
              </w:rPr>
              <w:t xml:space="preserve"> apibrėžimas patikslintas </w:t>
            </w:r>
            <w:r>
              <w:rPr>
                <w:bCs/>
                <w:szCs w:val="24"/>
              </w:rPr>
              <w:t>išdėstytas taip:</w:t>
            </w:r>
          </w:p>
          <w:p w14:paraId="0C7EAE26" w14:textId="7DBCDBD3" w:rsidR="00C57AE6" w:rsidRDefault="00C57AE6" w:rsidP="000214E1">
            <w:pPr>
              <w:tabs>
                <w:tab w:val="left" w:pos="5880"/>
              </w:tabs>
              <w:rPr>
                <w:bCs/>
                <w:szCs w:val="24"/>
              </w:rPr>
            </w:pPr>
            <w:r>
              <w:rPr>
                <w:bCs/>
                <w:szCs w:val="24"/>
              </w:rPr>
              <w:t>„</w:t>
            </w:r>
            <w:proofErr w:type="spellStart"/>
            <w:r w:rsidRPr="00C57AE6">
              <w:rPr>
                <w:bCs/>
                <w:szCs w:val="24"/>
              </w:rPr>
              <w:t>KPmax</w:t>
            </w:r>
            <w:proofErr w:type="spellEnd"/>
            <w:r w:rsidRPr="00C57AE6">
              <w:rPr>
                <w:bCs/>
                <w:szCs w:val="24"/>
              </w:rPr>
              <w:t xml:space="preserve"> – sistemos naudotojo didžiausia pateikta kiekio paraiška ar patikslinta kiekio paraiška </w:t>
            </w:r>
            <w:r w:rsidRPr="00C57AE6">
              <w:rPr>
                <w:bCs/>
                <w:strike/>
                <w:szCs w:val="24"/>
              </w:rPr>
              <w:t>kurią PSO apribojo</w:t>
            </w:r>
            <w:r w:rsidRPr="00C57AE6">
              <w:rPr>
                <w:bCs/>
                <w:szCs w:val="24"/>
              </w:rPr>
              <w:t>, bet ne didesnė nei sistemos naudotojo užsakyti nuolatiniai pajėgumai ir ne didesnė nei sujungimo taško techniniai pajėgumai po apribojimo;</w:t>
            </w:r>
            <w:r>
              <w:rPr>
                <w:bCs/>
                <w:szCs w:val="24"/>
              </w:rPr>
              <w:t>“</w:t>
            </w:r>
          </w:p>
          <w:p w14:paraId="48D33A74" w14:textId="3127CDB8" w:rsidR="000214E1" w:rsidRPr="005F3ED9" w:rsidRDefault="000214E1" w:rsidP="00B83806">
            <w:pPr>
              <w:tabs>
                <w:tab w:val="left" w:pos="5880"/>
              </w:tabs>
              <w:rPr>
                <w:bCs/>
                <w:szCs w:val="24"/>
              </w:rPr>
            </w:pPr>
          </w:p>
        </w:tc>
      </w:tr>
    </w:tbl>
    <w:p w14:paraId="074094F4" w14:textId="06B9909A" w:rsidR="00BB1A24" w:rsidRPr="00C96DC7" w:rsidRDefault="00BB1A24" w:rsidP="00846AD3">
      <w:pPr>
        <w:jc w:val="center"/>
        <w:rPr>
          <w:szCs w:val="24"/>
        </w:rPr>
      </w:pPr>
    </w:p>
    <w:sectPr w:rsidR="00BB1A24" w:rsidRPr="00C96DC7" w:rsidSect="00CD239B">
      <w:footerReference w:type="default" r:id="rId8"/>
      <w:pgSz w:w="16838" w:h="11906" w:orient="landscape"/>
      <w:pgMar w:top="1701" w:right="567"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83DB8" w14:textId="77777777" w:rsidR="00DD0707" w:rsidRDefault="00DD0707" w:rsidP="00BB1A24">
      <w:r>
        <w:separator/>
      </w:r>
    </w:p>
  </w:endnote>
  <w:endnote w:type="continuationSeparator" w:id="0">
    <w:p w14:paraId="1FE605DB" w14:textId="77777777" w:rsidR="00DD0707" w:rsidRDefault="00DD0707" w:rsidP="00BB1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40F29" w14:textId="77777777" w:rsidR="00D75E53" w:rsidRDefault="00D75E53">
    <w:pPr>
      <w:pStyle w:val="Footer"/>
      <w:jc w:val="cent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9BF65" w14:textId="77777777" w:rsidR="00DD0707" w:rsidRDefault="00DD0707" w:rsidP="00BB1A24">
      <w:r>
        <w:separator/>
      </w:r>
    </w:p>
  </w:footnote>
  <w:footnote w:type="continuationSeparator" w:id="0">
    <w:p w14:paraId="2D6CF33C" w14:textId="77777777" w:rsidR="00DD0707" w:rsidRDefault="00DD0707" w:rsidP="00BB1A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75B4"/>
    <w:multiLevelType w:val="hybridMultilevel"/>
    <w:tmpl w:val="EE5AAE40"/>
    <w:lvl w:ilvl="0" w:tplc="04270011">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 w15:restartNumberingAfterBreak="0">
    <w:nsid w:val="094268AB"/>
    <w:multiLevelType w:val="hybridMultilevel"/>
    <w:tmpl w:val="7C9AB548"/>
    <w:lvl w:ilvl="0" w:tplc="B6E047DC">
      <w:start w:val="31"/>
      <w:numFmt w:val="decimal"/>
      <w:lvlText w:val="%1."/>
      <w:lvlJc w:val="left"/>
      <w:pPr>
        <w:ind w:left="110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BA31AED"/>
    <w:multiLevelType w:val="hybridMultilevel"/>
    <w:tmpl w:val="29ECAF7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4C90BD9"/>
    <w:multiLevelType w:val="multilevel"/>
    <w:tmpl w:val="14F44950"/>
    <w:lvl w:ilvl="0">
      <w:start w:val="56"/>
      <w:numFmt w:val="decimal"/>
      <w:lvlText w:val="%1."/>
      <w:lvlJc w:val="left"/>
      <w:pPr>
        <w:ind w:left="1069" w:hanging="360"/>
      </w:pPr>
      <w:rPr>
        <w:color w:val="auto"/>
      </w:rPr>
    </w:lvl>
    <w:lvl w:ilvl="1">
      <w:start w:val="1"/>
      <w:numFmt w:val="decimal"/>
      <w:isLgl/>
      <w:lvlText w:val="%1.%2."/>
      <w:lvlJc w:val="left"/>
      <w:pPr>
        <w:ind w:left="1189" w:hanging="480"/>
      </w:pPr>
    </w:lvl>
    <w:lvl w:ilvl="2">
      <w:start w:val="1"/>
      <w:numFmt w:val="decimal"/>
      <w:isLgl/>
      <w:lvlText w:val="%1.%2.%3."/>
      <w:lvlJc w:val="left"/>
      <w:pPr>
        <w:ind w:left="1429" w:hanging="720"/>
      </w:pPr>
    </w:lvl>
    <w:lvl w:ilvl="3">
      <w:start w:val="1"/>
      <w:numFmt w:val="decimal"/>
      <w:isLgl/>
      <w:lvlText w:val="%1.%2.%3.%4."/>
      <w:lvlJc w:val="left"/>
      <w:pPr>
        <w:ind w:left="1429" w:hanging="720"/>
      </w:pPr>
    </w:lvl>
    <w:lvl w:ilvl="4">
      <w:start w:val="1"/>
      <w:numFmt w:val="decimal"/>
      <w:isLgl/>
      <w:lvlText w:val="%1.%2.%3.%4.%5."/>
      <w:lvlJc w:val="left"/>
      <w:pPr>
        <w:ind w:left="1789" w:hanging="1080"/>
      </w:pPr>
    </w:lvl>
    <w:lvl w:ilvl="5">
      <w:start w:val="1"/>
      <w:numFmt w:val="decimal"/>
      <w:isLgl/>
      <w:lvlText w:val="%1.%2.%3.%4.%5.%6."/>
      <w:lvlJc w:val="left"/>
      <w:pPr>
        <w:ind w:left="1789" w:hanging="1080"/>
      </w:pPr>
    </w:lvl>
    <w:lvl w:ilvl="6">
      <w:start w:val="1"/>
      <w:numFmt w:val="decimal"/>
      <w:isLgl/>
      <w:lvlText w:val="%1.%2.%3.%4.%5.%6.%7."/>
      <w:lvlJc w:val="left"/>
      <w:pPr>
        <w:ind w:left="2149" w:hanging="1440"/>
      </w:pPr>
    </w:lvl>
    <w:lvl w:ilvl="7">
      <w:start w:val="1"/>
      <w:numFmt w:val="decimal"/>
      <w:isLgl/>
      <w:lvlText w:val="%1.%2.%3.%4.%5.%6.%7.%8."/>
      <w:lvlJc w:val="left"/>
      <w:pPr>
        <w:ind w:left="2149" w:hanging="1440"/>
      </w:pPr>
    </w:lvl>
    <w:lvl w:ilvl="8">
      <w:start w:val="1"/>
      <w:numFmt w:val="decimal"/>
      <w:isLgl/>
      <w:lvlText w:val="%1.%2.%3.%4.%5.%6.%7.%8.%9."/>
      <w:lvlJc w:val="left"/>
      <w:pPr>
        <w:ind w:left="2509" w:hanging="1800"/>
      </w:pPr>
    </w:lvl>
  </w:abstractNum>
  <w:abstractNum w:abstractNumId="4" w15:restartNumberingAfterBreak="0">
    <w:nsid w:val="15855588"/>
    <w:multiLevelType w:val="hybridMultilevel"/>
    <w:tmpl w:val="C6C28044"/>
    <w:lvl w:ilvl="0" w:tplc="57526540">
      <w:start w:val="34"/>
      <w:numFmt w:val="decimal"/>
      <w:lvlText w:val="%1."/>
      <w:lvlJc w:val="left"/>
      <w:pPr>
        <w:ind w:left="720" w:hanging="360"/>
      </w:pPr>
      <w:rPr>
        <w:rFonts w:hint="default"/>
        <w:color w:val="00000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F0B12B4"/>
    <w:multiLevelType w:val="multilevel"/>
    <w:tmpl w:val="9916727A"/>
    <w:lvl w:ilvl="0">
      <w:start w:val="1"/>
      <w:numFmt w:val="decimal"/>
      <w:suff w:val="space"/>
      <w:lvlText w:val="%1."/>
      <w:lvlJc w:val="left"/>
      <w:pPr>
        <w:ind w:left="211" w:firstLine="924"/>
      </w:pPr>
      <w:rPr>
        <w:rFonts w:ascii="Times New Roman" w:hAnsi="Times New Roman" w:cs="Times New Roman" w:hint="default"/>
        <w:b w:val="0"/>
      </w:rPr>
    </w:lvl>
    <w:lvl w:ilvl="1">
      <w:start w:val="1"/>
      <w:numFmt w:val="decimal"/>
      <w:suff w:val="space"/>
      <w:lvlText w:val="%1.%2."/>
      <w:lvlJc w:val="left"/>
      <w:pPr>
        <w:ind w:left="0" w:firstLine="924"/>
      </w:pPr>
      <w:rPr>
        <w:rFonts w:hint="default"/>
        <w:b w:val="0"/>
      </w:rPr>
    </w:lvl>
    <w:lvl w:ilvl="2">
      <w:start w:val="1"/>
      <w:numFmt w:val="decimal"/>
      <w:suff w:val="space"/>
      <w:lvlText w:val="%1.%2.%3."/>
      <w:lvlJc w:val="left"/>
      <w:pPr>
        <w:ind w:left="0" w:firstLine="924"/>
      </w:pPr>
      <w:rPr>
        <w:rFonts w:hint="default"/>
        <w:b w:val="0"/>
      </w:rPr>
    </w:lvl>
    <w:lvl w:ilvl="3">
      <w:start w:val="1"/>
      <w:numFmt w:val="decimal"/>
      <w:suff w:val="space"/>
      <w:lvlText w:val="%1.%2.%3.%4."/>
      <w:lvlJc w:val="left"/>
      <w:pPr>
        <w:ind w:left="0" w:firstLine="924"/>
      </w:pPr>
      <w:rPr>
        <w:rFonts w:hint="default"/>
      </w:rPr>
    </w:lvl>
    <w:lvl w:ilvl="4">
      <w:start w:val="1"/>
      <w:numFmt w:val="decimal"/>
      <w:lvlText w:val="%1.%2.%3.%4.%5."/>
      <w:lvlJc w:val="left"/>
      <w:pPr>
        <w:tabs>
          <w:tab w:val="num" w:pos="924"/>
        </w:tabs>
        <w:ind w:left="0" w:firstLine="924"/>
      </w:pPr>
      <w:rPr>
        <w:rFonts w:hint="default"/>
      </w:rPr>
    </w:lvl>
    <w:lvl w:ilvl="5">
      <w:start w:val="1"/>
      <w:numFmt w:val="decimal"/>
      <w:lvlText w:val="%1.%2.%3.%4.%5.%6."/>
      <w:lvlJc w:val="left"/>
      <w:pPr>
        <w:tabs>
          <w:tab w:val="num" w:pos="924"/>
        </w:tabs>
        <w:ind w:left="0" w:firstLine="924"/>
      </w:pPr>
      <w:rPr>
        <w:rFonts w:hint="default"/>
      </w:rPr>
    </w:lvl>
    <w:lvl w:ilvl="6">
      <w:start w:val="1"/>
      <w:numFmt w:val="decimal"/>
      <w:lvlText w:val="%1.%2.%3.%4.%5.%6.%7."/>
      <w:lvlJc w:val="left"/>
      <w:pPr>
        <w:tabs>
          <w:tab w:val="num" w:pos="924"/>
        </w:tabs>
        <w:ind w:left="0" w:firstLine="924"/>
      </w:pPr>
      <w:rPr>
        <w:rFonts w:hint="default"/>
      </w:rPr>
    </w:lvl>
    <w:lvl w:ilvl="7">
      <w:start w:val="1"/>
      <w:numFmt w:val="decimal"/>
      <w:lvlText w:val="%1.%2.%3.%4.%5.%6.%7.%8."/>
      <w:lvlJc w:val="left"/>
      <w:pPr>
        <w:tabs>
          <w:tab w:val="num" w:pos="924"/>
        </w:tabs>
        <w:ind w:left="0" w:firstLine="924"/>
      </w:pPr>
      <w:rPr>
        <w:rFonts w:hint="default"/>
      </w:rPr>
    </w:lvl>
    <w:lvl w:ilvl="8">
      <w:start w:val="1"/>
      <w:numFmt w:val="decimal"/>
      <w:lvlText w:val="%1.%2.%3.%4.%5.%6.%7.%8.%9."/>
      <w:lvlJc w:val="left"/>
      <w:pPr>
        <w:tabs>
          <w:tab w:val="num" w:pos="924"/>
        </w:tabs>
        <w:ind w:left="0" w:firstLine="924"/>
      </w:pPr>
      <w:rPr>
        <w:rFonts w:hint="default"/>
      </w:rPr>
    </w:lvl>
  </w:abstractNum>
  <w:abstractNum w:abstractNumId="6" w15:restartNumberingAfterBreak="0">
    <w:nsid w:val="225E216C"/>
    <w:multiLevelType w:val="hybridMultilevel"/>
    <w:tmpl w:val="B3DC95F2"/>
    <w:lvl w:ilvl="0" w:tplc="F940B8E0">
      <w:start w:val="32"/>
      <w:numFmt w:val="decimal"/>
      <w:lvlText w:val="%1."/>
      <w:lvlJc w:val="left"/>
      <w:pPr>
        <w:ind w:left="720" w:hanging="360"/>
      </w:pPr>
      <w:rPr>
        <w:b w:val="0"/>
        <w:bCs/>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24B90853"/>
    <w:multiLevelType w:val="multilevel"/>
    <w:tmpl w:val="648CCE14"/>
    <w:lvl w:ilvl="0">
      <w:start w:val="1"/>
      <w:numFmt w:val="decimal"/>
      <w:lvlText w:val="%1."/>
      <w:lvlJc w:val="left"/>
      <w:pPr>
        <w:tabs>
          <w:tab w:val="num" w:pos="360"/>
        </w:tabs>
        <w:ind w:left="360" w:hanging="360"/>
      </w:pPr>
      <w:rPr>
        <w:rFonts w:cs="Times New Roman" w:hint="default"/>
        <w:i w:val="0"/>
        <w:color w:val="auto"/>
        <w:sz w:val="24"/>
        <w:szCs w:val="24"/>
      </w:rPr>
    </w:lvl>
    <w:lvl w:ilvl="1">
      <w:start w:val="1"/>
      <w:numFmt w:val="decimal"/>
      <w:lvlText w:val="%1.%2."/>
      <w:lvlJc w:val="left"/>
      <w:pPr>
        <w:tabs>
          <w:tab w:val="num" w:pos="792"/>
        </w:tabs>
        <w:ind w:left="792" w:hanging="432"/>
      </w:pPr>
      <w:rPr>
        <w:rFonts w:cs="Times New Roman" w:hint="default"/>
        <w:b w:val="0"/>
        <w:i w:val="0"/>
        <w:sz w:val="24"/>
        <w:szCs w:val="24"/>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374E64A5"/>
    <w:multiLevelType w:val="multilevel"/>
    <w:tmpl w:val="D9AA0B2E"/>
    <w:lvl w:ilvl="0">
      <w:start w:val="33"/>
      <w:numFmt w:val="decimal"/>
      <w:lvlText w:val="%1"/>
      <w:lvlJc w:val="left"/>
      <w:pPr>
        <w:ind w:left="384" w:hanging="384"/>
      </w:pPr>
      <w:rPr>
        <w:rFonts w:hint="default"/>
        <w:b w:val="0"/>
      </w:rPr>
    </w:lvl>
    <w:lvl w:ilvl="1">
      <w:start w:val="3"/>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42C94BBF"/>
    <w:multiLevelType w:val="multilevel"/>
    <w:tmpl w:val="B240B134"/>
    <w:lvl w:ilvl="0">
      <w:start w:val="68"/>
      <w:numFmt w:val="decimal"/>
      <w:lvlText w:val="%1."/>
      <w:lvlJc w:val="left"/>
      <w:pPr>
        <w:ind w:left="720" w:hanging="360"/>
      </w:pPr>
      <w:rPr>
        <w:rFonts w:hint="default"/>
      </w:rPr>
    </w:lvl>
    <w:lvl w:ilvl="1">
      <w:start w:val="1"/>
      <w:numFmt w:val="decimal"/>
      <w:isLgl/>
      <w:lvlText w:val="%1.%2"/>
      <w:lvlJc w:val="left"/>
      <w:pPr>
        <w:ind w:left="876" w:hanging="384"/>
      </w:pPr>
      <w:rPr>
        <w:rFonts w:hint="default"/>
      </w:rPr>
    </w:lvl>
    <w:lvl w:ilvl="2">
      <w:start w:val="1"/>
      <w:numFmt w:val="decimal"/>
      <w:isLgl/>
      <w:lvlText w:val="%1.%2.%3"/>
      <w:lvlJc w:val="left"/>
      <w:pPr>
        <w:ind w:left="1344" w:hanging="720"/>
      </w:pPr>
      <w:rPr>
        <w:rFonts w:hint="default"/>
      </w:rPr>
    </w:lvl>
    <w:lvl w:ilvl="3">
      <w:start w:val="1"/>
      <w:numFmt w:val="decimal"/>
      <w:isLgl/>
      <w:lvlText w:val="%1.%2.%3.%4"/>
      <w:lvlJc w:val="left"/>
      <w:pPr>
        <w:ind w:left="1476" w:hanging="720"/>
      </w:pPr>
      <w:rPr>
        <w:rFonts w:hint="default"/>
      </w:rPr>
    </w:lvl>
    <w:lvl w:ilvl="4">
      <w:start w:val="1"/>
      <w:numFmt w:val="decimal"/>
      <w:isLgl/>
      <w:lvlText w:val="%1.%2.%3.%4.%5"/>
      <w:lvlJc w:val="left"/>
      <w:pPr>
        <w:ind w:left="1968" w:hanging="1080"/>
      </w:pPr>
      <w:rPr>
        <w:rFonts w:hint="default"/>
      </w:rPr>
    </w:lvl>
    <w:lvl w:ilvl="5">
      <w:start w:val="1"/>
      <w:numFmt w:val="decimal"/>
      <w:isLgl/>
      <w:lvlText w:val="%1.%2.%3.%4.%5.%6"/>
      <w:lvlJc w:val="left"/>
      <w:pPr>
        <w:ind w:left="2100" w:hanging="1080"/>
      </w:pPr>
      <w:rPr>
        <w:rFonts w:hint="default"/>
      </w:rPr>
    </w:lvl>
    <w:lvl w:ilvl="6">
      <w:start w:val="1"/>
      <w:numFmt w:val="decimal"/>
      <w:isLgl/>
      <w:lvlText w:val="%1.%2.%3.%4.%5.%6.%7"/>
      <w:lvlJc w:val="left"/>
      <w:pPr>
        <w:ind w:left="2592" w:hanging="1440"/>
      </w:pPr>
      <w:rPr>
        <w:rFonts w:hint="default"/>
      </w:rPr>
    </w:lvl>
    <w:lvl w:ilvl="7">
      <w:start w:val="1"/>
      <w:numFmt w:val="decimal"/>
      <w:isLgl/>
      <w:lvlText w:val="%1.%2.%3.%4.%5.%6.%7.%8"/>
      <w:lvlJc w:val="left"/>
      <w:pPr>
        <w:ind w:left="2724" w:hanging="1440"/>
      </w:pPr>
      <w:rPr>
        <w:rFonts w:hint="default"/>
      </w:rPr>
    </w:lvl>
    <w:lvl w:ilvl="8">
      <w:start w:val="1"/>
      <w:numFmt w:val="decimal"/>
      <w:isLgl/>
      <w:lvlText w:val="%1.%2.%3.%4.%5.%6.%7.%8.%9"/>
      <w:lvlJc w:val="left"/>
      <w:pPr>
        <w:ind w:left="3216" w:hanging="1800"/>
      </w:pPr>
      <w:rPr>
        <w:rFonts w:hint="default"/>
      </w:rPr>
    </w:lvl>
  </w:abstractNum>
  <w:abstractNum w:abstractNumId="10" w15:restartNumberingAfterBreak="0">
    <w:nsid w:val="44095353"/>
    <w:multiLevelType w:val="hybridMultilevel"/>
    <w:tmpl w:val="9DAC62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1FF7071"/>
    <w:multiLevelType w:val="multilevel"/>
    <w:tmpl w:val="EB00F320"/>
    <w:lvl w:ilvl="0">
      <w:start w:val="1"/>
      <w:numFmt w:val="decimal"/>
      <w:lvlText w:val="%1."/>
      <w:lvlJc w:val="left"/>
      <w:pPr>
        <w:ind w:left="360" w:hanging="360"/>
      </w:pPr>
    </w:lvl>
    <w:lvl w:ilvl="1">
      <w:start w:val="1"/>
      <w:numFmt w:val="decimal"/>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E8147F"/>
    <w:multiLevelType w:val="hybridMultilevel"/>
    <w:tmpl w:val="D21639F8"/>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62454524"/>
    <w:multiLevelType w:val="hybridMultilevel"/>
    <w:tmpl w:val="E558E2D2"/>
    <w:lvl w:ilvl="0" w:tplc="79729F62">
      <w:start w:val="34"/>
      <w:numFmt w:val="decimal"/>
      <w:lvlText w:val="%1."/>
      <w:lvlJc w:val="left"/>
      <w:pPr>
        <w:ind w:left="720" w:hanging="360"/>
      </w:pPr>
      <w:rPr>
        <w:color w:val="00000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63033B24"/>
    <w:multiLevelType w:val="hybridMultilevel"/>
    <w:tmpl w:val="F1F4AD72"/>
    <w:lvl w:ilvl="0" w:tplc="2DFA5854">
      <w:start w:val="2"/>
      <w:numFmt w:val="upperRoman"/>
      <w:lvlText w:val="%1."/>
      <w:lvlJc w:val="left"/>
      <w:pPr>
        <w:ind w:left="1797" w:hanging="720"/>
      </w:pPr>
      <w:rPr>
        <w:rFonts w:hint="default"/>
      </w:rPr>
    </w:lvl>
    <w:lvl w:ilvl="1" w:tplc="04270019" w:tentative="1">
      <w:start w:val="1"/>
      <w:numFmt w:val="lowerLetter"/>
      <w:lvlText w:val="%2."/>
      <w:lvlJc w:val="left"/>
      <w:pPr>
        <w:ind w:left="2157" w:hanging="360"/>
      </w:pPr>
    </w:lvl>
    <w:lvl w:ilvl="2" w:tplc="0427001B" w:tentative="1">
      <w:start w:val="1"/>
      <w:numFmt w:val="lowerRoman"/>
      <w:lvlText w:val="%3."/>
      <w:lvlJc w:val="right"/>
      <w:pPr>
        <w:ind w:left="2877" w:hanging="180"/>
      </w:pPr>
    </w:lvl>
    <w:lvl w:ilvl="3" w:tplc="0427000F" w:tentative="1">
      <w:start w:val="1"/>
      <w:numFmt w:val="decimal"/>
      <w:lvlText w:val="%4."/>
      <w:lvlJc w:val="left"/>
      <w:pPr>
        <w:ind w:left="3597" w:hanging="360"/>
      </w:pPr>
    </w:lvl>
    <w:lvl w:ilvl="4" w:tplc="04270019" w:tentative="1">
      <w:start w:val="1"/>
      <w:numFmt w:val="lowerLetter"/>
      <w:lvlText w:val="%5."/>
      <w:lvlJc w:val="left"/>
      <w:pPr>
        <w:ind w:left="4317" w:hanging="360"/>
      </w:pPr>
    </w:lvl>
    <w:lvl w:ilvl="5" w:tplc="0427001B" w:tentative="1">
      <w:start w:val="1"/>
      <w:numFmt w:val="lowerRoman"/>
      <w:lvlText w:val="%6."/>
      <w:lvlJc w:val="right"/>
      <w:pPr>
        <w:ind w:left="5037" w:hanging="180"/>
      </w:pPr>
    </w:lvl>
    <w:lvl w:ilvl="6" w:tplc="0427000F" w:tentative="1">
      <w:start w:val="1"/>
      <w:numFmt w:val="decimal"/>
      <w:lvlText w:val="%7."/>
      <w:lvlJc w:val="left"/>
      <w:pPr>
        <w:ind w:left="5757" w:hanging="360"/>
      </w:pPr>
    </w:lvl>
    <w:lvl w:ilvl="7" w:tplc="04270019" w:tentative="1">
      <w:start w:val="1"/>
      <w:numFmt w:val="lowerLetter"/>
      <w:lvlText w:val="%8."/>
      <w:lvlJc w:val="left"/>
      <w:pPr>
        <w:ind w:left="6477" w:hanging="360"/>
      </w:pPr>
    </w:lvl>
    <w:lvl w:ilvl="8" w:tplc="0427001B" w:tentative="1">
      <w:start w:val="1"/>
      <w:numFmt w:val="lowerRoman"/>
      <w:lvlText w:val="%9."/>
      <w:lvlJc w:val="right"/>
      <w:pPr>
        <w:ind w:left="7197" w:hanging="180"/>
      </w:pPr>
    </w:lvl>
  </w:abstractNum>
  <w:abstractNum w:abstractNumId="15" w15:restartNumberingAfterBreak="0">
    <w:nsid w:val="68EB488C"/>
    <w:multiLevelType w:val="hybridMultilevel"/>
    <w:tmpl w:val="303E164A"/>
    <w:lvl w:ilvl="0" w:tplc="270AF80E">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6E895C95"/>
    <w:multiLevelType w:val="hybridMultilevel"/>
    <w:tmpl w:val="FC1C64D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70123C5A"/>
    <w:multiLevelType w:val="hybridMultilevel"/>
    <w:tmpl w:val="0AD4D9F4"/>
    <w:lvl w:ilvl="0" w:tplc="2F4E2350">
      <w:start w:val="1"/>
      <w:numFmt w:val="upperRoman"/>
      <w:lvlText w:val="%1."/>
      <w:lvlJc w:val="left"/>
      <w:pPr>
        <w:ind w:left="1629" w:hanging="720"/>
      </w:pPr>
      <w:rPr>
        <w:rFonts w:hint="default"/>
      </w:rPr>
    </w:lvl>
    <w:lvl w:ilvl="1" w:tplc="04270019" w:tentative="1">
      <w:start w:val="1"/>
      <w:numFmt w:val="lowerLetter"/>
      <w:lvlText w:val="%2."/>
      <w:lvlJc w:val="left"/>
      <w:pPr>
        <w:ind w:left="1989" w:hanging="360"/>
      </w:pPr>
    </w:lvl>
    <w:lvl w:ilvl="2" w:tplc="0427001B" w:tentative="1">
      <w:start w:val="1"/>
      <w:numFmt w:val="lowerRoman"/>
      <w:lvlText w:val="%3."/>
      <w:lvlJc w:val="right"/>
      <w:pPr>
        <w:ind w:left="2709" w:hanging="180"/>
      </w:pPr>
    </w:lvl>
    <w:lvl w:ilvl="3" w:tplc="0427000F" w:tentative="1">
      <w:start w:val="1"/>
      <w:numFmt w:val="decimal"/>
      <w:lvlText w:val="%4."/>
      <w:lvlJc w:val="left"/>
      <w:pPr>
        <w:ind w:left="3429" w:hanging="360"/>
      </w:pPr>
    </w:lvl>
    <w:lvl w:ilvl="4" w:tplc="04270019" w:tentative="1">
      <w:start w:val="1"/>
      <w:numFmt w:val="lowerLetter"/>
      <w:lvlText w:val="%5."/>
      <w:lvlJc w:val="left"/>
      <w:pPr>
        <w:ind w:left="4149" w:hanging="360"/>
      </w:pPr>
    </w:lvl>
    <w:lvl w:ilvl="5" w:tplc="0427001B" w:tentative="1">
      <w:start w:val="1"/>
      <w:numFmt w:val="lowerRoman"/>
      <w:lvlText w:val="%6."/>
      <w:lvlJc w:val="right"/>
      <w:pPr>
        <w:ind w:left="4869" w:hanging="180"/>
      </w:pPr>
    </w:lvl>
    <w:lvl w:ilvl="6" w:tplc="0427000F" w:tentative="1">
      <w:start w:val="1"/>
      <w:numFmt w:val="decimal"/>
      <w:lvlText w:val="%7."/>
      <w:lvlJc w:val="left"/>
      <w:pPr>
        <w:ind w:left="5589" w:hanging="360"/>
      </w:pPr>
    </w:lvl>
    <w:lvl w:ilvl="7" w:tplc="04270019" w:tentative="1">
      <w:start w:val="1"/>
      <w:numFmt w:val="lowerLetter"/>
      <w:lvlText w:val="%8."/>
      <w:lvlJc w:val="left"/>
      <w:pPr>
        <w:ind w:left="6309" w:hanging="360"/>
      </w:pPr>
    </w:lvl>
    <w:lvl w:ilvl="8" w:tplc="0427001B" w:tentative="1">
      <w:start w:val="1"/>
      <w:numFmt w:val="lowerRoman"/>
      <w:lvlText w:val="%9."/>
      <w:lvlJc w:val="right"/>
      <w:pPr>
        <w:ind w:left="7029" w:hanging="180"/>
      </w:pPr>
    </w:lvl>
  </w:abstractNum>
  <w:abstractNum w:abstractNumId="18" w15:restartNumberingAfterBreak="0">
    <w:nsid w:val="733D3825"/>
    <w:multiLevelType w:val="hybridMultilevel"/>
    <w:tmpl w:val="C9741EF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4775046"/>
    <w:multiLevelType w:val="hybridMultilevel"/>
    <w:tmpl w:val="B3F4317C"/>
    <w:lvl w:ilvl="0" w:tplc="04090019">
      <w:start w:val="1"/>
      <w:numFmt w:val="lowerLetter"/>
      <w:lvlText w:val="%1."/>
      <w:lvlJc w:val="left"/>
      <w:pPr>
        <w:ind w:left="144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9713BB2"/>
    <w:multiLevelType w:val="hybridMultilevel"/>
    <w:tmpl w:val="7F1A7A34"/>
    <w:lvl w:ilvl="0" w:tplc="35A8C17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29361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73431239">
    <w:abstractNumId w:val="0"/>
  </w:num>
  <w:num w:numId="3" w16cid:durableId="856118390">
    <w:abstractNumId w:val="11"/>
  </w:num>
  <w:num w:numId="4" w16cid:durableId="2111273879">
    <w:abstractNumId w:val="16"/>
  </w:num>
  <w:num w:numId="5" w16cid:durableId="2106612668">
    <w:abstractNumId w:val="6"/>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8082892">
    <w:abstractNumId w:val="13"/>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5280359">
    <w:abstractNumId w:val="4"/>
  </w:num>
  <w:num w:numId="8" w16cid:durableId="955481002">
    <w:abstractNumId w:val="3"/>
    <w:lvlOverride w:ilvl="0">
      <w:startOverride w:val="5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1805273">
    <w:abstractNumId w:val="1"/>
  </w:num>
  <w:num w:numId="10" w16cid:durableId="228658933">
    <w:abstractNumId w:val="8"/>
  </w:num>
  <w:num w:numId="11" w16cid:durableId="1295912068">
    <w:abstractNumId w:val="9"/>
  </w:num>
  <w:num w:numId="12" w16cid:durableId="1018970082">
    <w:abstractNumId w:val="20"/>
  </w:num>
  <w:num w:numId="13" w16cid:durableId="2001303506">
    <w:abstractNumId w:val="14"/>
  </w:num>
  <w:num w:numId="14" w16cid:durableId="1133671195">
    <w:abstractNumId w:val="17"/>
  </w:num>
  <w:num w:numId="15" w16cid:durableId="1520925275">
    <w:abstractNumId w:val="5"/>
  </w:num>
  <w:num w:numId="16" w16cid:durableId="1353920515">
    <w:abstractNumId w:val="7"/>
  </w:num>
  <w:num w:numId="17" w16cid:durableId="695039516">
    <w:abstractNumId w:val="10"/>
  </w:num>
  <w:num w:numId="18" w16cid:durableId="48648566">
    <w:abstractNumId w:val="19"/>
  </w:num>
  <w:num w:numId="19" w16cid:durableId="122385153">
    <w:abstractNumId w:val="12"/>
  </w:num>
  <w:num w:numId="20" w16cid:durableId="1439254068">
    <w:abstractNumId w:val="18"/>
  </w:num>
  <w:num w:numId="21" w16cid:durableId="1812559299">
    <w:abstractNumId w:val="2"/>
  </w:num>
  <w:num w:numId="22" w16cid:durableId="1669478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BB6"/>
    <w:rsid w:val="000027AE"/>
    <w:rsid w:val="00010D02"/>
    <w:rsid w:val="00011876"/>
    <w:rsid w:val="00013967"/>
    <w:rsid w:val="00016D4C"/>
    <w:rsid w:val="000214E1"/>
    <w:rsid w:val="00023630"/>
    <w:rsid w:val="00024E3F"/>
    <w:rsid w:val="00026F77"/>
    <w:rsid w:val="00040EB7"/>
    <w:rsid w:val="00042241"/>
    <w:rsid w:val="00042583"/>
    <w:rsid w:val="00042623"/>
    <w:rsid w:val="00047C27"/>
    <w:rsid w:val="000512BD"/>
    <w:rsid w:val="00052A8C"/>
    <w:rsid w:val="00053F45"/>
    <w:rsid w:val="00055C25"/>
    <w:rsid w:val="00062308"/>
    <w:rsid w:val="00062CFC"/>
    <w:rsid w:val="00064352"/>
    <w:rsid w:val="000652BE"/>
    <w:rsid w:val="000716E8"/>
    <w:rsid w:val="00071748"/>
    <w:rsid w:val="00072ED7"/>
    <w:rsid w:val="00073BB8"/>
    <w:rsid w:val="00074265"/>
    <w:rsid w:val="0008126D"/>
    <w:rsid w:val="0008417F"/>
    <w:rsid w:val="00085CA1"/>
    <w:rsid w:val="00086D5F"/>
    <w:rsid w:val="000950C9"/>
    <w:rsid w:val="00095801"/>
    <w:rsid w:val="000A06C0"/>
    <w:rsid w:val="000A37B8"/>
    <w:rsid w:val="000A4AA1"/>
    <w:rsid w:val="000B4521"/>
    <w:rsid w:val="000B5C57"/>
    <w:rsid w:val="000C0234"/>
    <w:rsid w:val="000C3ECE"/>
    <w:rsid w:val="000C7A54"/>
    <w:rsid w:val="000C7C70"/>
    <w:rsid w:val="000E1323"/>
    <w:rsid w:val="000E49D4"/>
    <w:rsid w:val="000F0924"/>
    <w:rsid w:val="000F5978"/>
    <w:rsid w:val="00100DE5"/>
    <w:rsid w:val="00102278"/>
    <w:rsid w:val="00102BB6"/>
    <w:rsid w:val="00103134"/>
    <w:rsid w:val="0010380C"/>
    <w:rsid w:val="00105BE8"/>
    <w:rsid w:val="00106153"/>
    <w:rsid w:val="00107E45"/>
    <w:rsid w:val="00111C73"/>
    <w:rsid w:val="00113B34"/>
    <w:rsid w:val="00116142"/>
    <w:rsid w:val="001205ED"/>
    <w:rsid w:val="001276A0"/>
    <w:rsid w:val="0012776E"/>
    <w:rsid w:val="00130EBE"/>
    <w:rsid w:val="00131C54"/>
    <w:rsid w:val="00133B54"/>
    <w:rsid w:val="00135267"/>
    <w:rsid w:val="001377B0"/>
    <w:rsid w:val="00137B31"/>
    <w:rsid w:val="00137D5C"/>
    <w:rsid w:val="001401B2"/>
    <w:rsid w:val="00140CB8"/>
    <w:rsid w:val="0015319B"/>
    <w:rsid w:val="00157BBA"/>
    <w:rsid w:val="00157CF8"/>
    <w:rsid w:val="00162CA2"/>
    <w:rsid w:val="00164E52"/>
    <w:rsid w:val="00165CC3"/>
    <w:rsid w:val="00173504"/>
    <w:rsid w:val="00174556"/>
    <w:rsid w:val="0017518A"/>
    <w:rsid w:val="001810B5"/>
    <w:rsid w:val="00183D16"/>
    <w:rsid w:val="00186280"/>
    <w:rsid w:val="00193A5E"/>
    <w:rsid w:val="001A21FB"/>
    <w:rsid w:val="001A3C5B"/>
    <w:rsid w:val="001B1D78"/>
    <w:rsid w:val="001C112D"/>
    <w:rsid w:val="001C2630"/>
    <w:rsid w:val="001D08B1"/>
    <w:rsid w:val="001D34CC"/>
    <w:rsid w:val="001D4238"/>
    <w:rsid w:val="001D62E0"/>
    <w:rsid w:val="001D6ECA"/>
    <w:rsid w:val="001E0654"/>
    <w:rsid w:val="001E0C3E"/>
    <w:rsid w:val="001E15ED"/>
    <w:rsid w:val="001E3E6B"/>
    <w:rsid w:val="001E40D9"/>
    <w:rsid w:val="001E62AE"/>
    <w:rsid w:val="001F3D6B"/>
    <w:rsid w:val="001F4B6F"/>
    <w:rsid w:val="001F4C18"/>
    <w:rsid w:val="001F5EE9"/>
    <w:rsid w:val="001F7AD8"/>
    <w:rsid w:val="00207641"/>
    <w:rsid w:val="00207BA0"/>
    <w:rsid w:val="00207D41"/>
    <w:rsid w:val="002112EF"/>
    <w:rsid w:val="0022005D"/>
    <w:rsid w:val="00220891"/>
    <w:rsid w:val="00221262"/>
    <w:rsid w:val="00221849"/>
    <w:rsid w:val="00221F91"/>
    <w:rsid w:val="0022567C"/>
    <w:rsid w:val="00234476"/>
    <w:rsid w:val="00237081"/>
    <w:rsid w:val="00240870"/>
    <w:rsid w:val="00241E93"/>
    <w:rsid w:val="00250FE3"/>
    <w:rsid w:val="002568BA"/>
    <w:rsid w:val="002607DC"/>
    <w:rsid w:val="00263C12"/>
    <w:rsid w:val="00265892"/>
    <w:rsid w:val="00267220"/>
    <w:rsid w:val="00274A18"/>
    <w:rsid w:val="0027682F"/>
    <w:rsid w:val="00276C36"/>
    <w:rsid w:val="00276DD1"/>
    <w:rsid w:val="0028563D"/>
    <w:rsid w:val="002961A0"/>
    <w:rsid w:val="00297A72"/>
    <w:rsid w:val="00297A8D"/>
    <w:rsid w:val="002A2156"/>
    <w:rsid w:val="002B1647"/>
    <w:rsid w:val="002B183D"/>
    <w:rsid w:val="002B3DCC"/>
    <w:rsid w:val="002B7F9A"/>
    <w:rsid w:val="002D18F6"/>
    <w:rsid w:val="002D19DD"/>
    <w:rsid w:val="002D69F5"/>
    <w:rsid w:val="002E32C5"/>
    <w:rsid w:val="002E7739"/>
    <w:rsid w:val="002E7AE1"/>
    <w:rsid w:val="002F6ACC"/>
    <w:rsid w:val="00301A4E"/>
    <w:rsid w:val="00305718"/>
    <w:rsid w:val="003124CC"/>
    <w:rsid w:val="00313A35"/>
    <w:rsid w:val="00313E8F"/>
    <w:rsid w:val="00327681"/>
    <w:rsid w:val="003300C7"/>
    <w:rsid w:val="00330508"/>
    <w:rsid w:val="003352F0"/>
    <w:rsid w:val="00343168"/>
    <w:rsid w:val="00344F78"/>
    <w:rsid w:val="003563B7"/>
    <w:rsid w:val="0036002F"/>
    <w:rsid w:val="00366EA8"/>
    <w:rsid w:val="00372D73"/>
    <w:rsid w:val="0037518B"/>
    <w:rsid w:val="003826C7"/>
    <w:rsid w:val="00382783"/>
    <w:rsid w:val="00382E2B"/>
    <w:rsid w:val="003835DD"/>
    <w:rsid w:val="003847B5"/>
    <w:rsid w:val="0038585D"/>
    <w:rsid w:val="00391870"/>
    <w:rsid w:val="00393849"/>
    <w:rsid w:val="003A3FEA"/>
    <w:rsid w:val="003A7187"/>
    <w:rsid w:val="003A7DEB"/>
    <w:rsid w:val="003B454A"/>
    <w:rsid w:val="003B759D"/>
    <w:rsid w:val="003C028D"/>
    <w:rsid w:val="003C2A91"/>
    <w:rsid w:val="003C33F1"/>
    <w:rsid w:val="003C34A8"/>
    <w:rsid w:val="003C715C"/>
    <w:rsid w:val="003C7F10"/>
    <w:rsid w:val="003D4BA6"/>
    <w:rsid w:val="003E10A8"/>
    <w:rsid w:val="003E3579"/>
    <w:rsid w:val="003E4571"/>
    <w:rsid w:val="003E4E24"/>
    <w:rsid w:val="003E582B"/>
    <w:rsid w:val="003E5EFB"/>
    <w:rsid w:val="003E7C9C"/>
    <w:rsid w:val="003F09D2"/>
    <w:rsid w:val="003F5351"/>
    <w:rsid w:val="003F5619"/>
    <w:rsid w:val="00400260"/>
    <w:rsid w:val="00401A5F"/>
    <w:rsid w:val="0041267A"/>
    <w:rsid w:val="00413492"/>
    <w:rsid w:val="00421FBD"/>
    <w:rsid w:val="00423DD3"/>
    <w:rsid w:val="00430647"/>
    <w:rsid w:val="004309C6"/>
    <w:rsid w:val="00432CC6"/>
    <w:rsid w:val="00433D00"/>
    <w:rsid w:val="004346C0"/>
    <w:rsid w:val="0044434C"/>
    <w:rsid w:val="004508F2"/>
    <w:rsid w:val="00450B61"/>
    <w:rsid w:val="00451EB7"/>
    <w:rsid w:val="00452A22"/>
    <w:rsid w:val="00456101"/>
    <w:rsid w:val="00462961"/>
    <w:rsid w:val="0046359B"/>
    <w:rsid w:val="00463A31"/>
    <w:rsid w:val="00470385"/>
    <w:rsid w:val="00470F63"/>
    <w:rsid w:val="00473A48"/>
    <w:rsid w:val="00474099"/>
    <w:rsid w:val="004742AE"/>
    <w:rsid w:val="00483A3F"/>
    <w:rsid w:val="00484F48"/>
    <w:rsid w:val="00485422"/>
    <w:rsid w:val="004872F5"/>
    <w:rsid w:val="004918E4"/>
    <w:rsid w:val="00493525"/>
    <w:rsid w:val="004A081B"/>
    <w:rsid w:val="004A65CF"/>
    <w:rsid w:val="004A7D66"/>
    <w:rsid w:val="004B0806"/>
    <w:rsid w:val="004B5F53"/>
    <w:rsid w:val="004D156F"/>
    <w:rsid w:val="004D5863"/>
    <w:rsid w:val="004D6669"/>
    <w:rsid w:val="004D6AF4"/>
    <w:rsid w:val="004E0EED"/>
    <w:rsid w:val="004E1E2B"/>
    <w:rsid w:val="004F58C4"/>
    <w:rsid w:val="004F620E"/>
    <w:rsid w:val="0050134F"/>
    <w:rsid w:val="005027B0"/>
    <w:rsid w:val="00505359"/>
    <w:rsid w:val="00510E25"/>
    <w:rsid w:val="00510F32"/>
    <w:rsid w:val="0051121F"/>
    <w:rsid w:val="005131B3"/>
    <w:rsid w:val="005157D6"/>
    <w:rsid w:val="005176FD"/>
    <w:rsid w:val="0053656E"/>
    <w:rsid w:val="005504E1"/>
    <w:rsid w:val="00551556"/>
    <w:rsid w:val="00556D88"/>
    <w:rsid w:val="0056502A"/>
    <w:rsid w:val="00571BCE"/>
    <w:rsid w:val="00575CE5"/>
    <w:rsid w:val="00577529"/>
    <w:rsid w:val="00580F21"/>
    <w:rsid w:val="00582405"/>
    <w:rsid w:val="005906FE"/>
    <w:rsid w:val="005A3926"/>
    <w:rsid w:val="005A43F8"/>
    <w:rsid w:val="005A596E"/>
    <w:rsid w:val="005A7832"/>
    <w:rsid w:val="005B2708"/>
    <w:rsid w:val="005B37EF"/>
    <w:rsid w:val="005B5901"/>
    <w:rsid w:val="005B5E34"/>
    <w:rsid w:val="005C1C18"/>
    <w:rsid w:val="005C2435"/>
    <w:rsid w:val="005C32AB"/>
    <w:rsid w:val="005C6E77"/>
    <w:rsid w:val="005C743B"/>
    <w:rsid w:val="005D0E7B"/>
    <w:rsid w:val="005D22D0"/>
    <w:rsid w:val="005D5B1A"/>
    <w:rsid w:val="005D6EE2"/>
    <w:rsid w:val="005E2408"/>
    <w:rsid w:val="005E4CCA"/>
    <w:rsid w:val="005E4DB2"/>
    <w:rsid w:val="005E56CB"/>
    <w:rsid w:val="005F3ED9"/>
    <w:rsid w:val="005F51B2"/>
    <w:rsid w:val="005F76BA"/>
    <w:rsid w:val="00600299"/>
    <w:rsid w:val="00603266"/>
    <w:rsid w:val="0061591A"/>
    <w:rsid w:val="00615C63"/>
    <w:rsid w:val="00621A92"/>
    <w:rsid w:val="00633BB8"/>
    <w:rsid w:val="00635AD6"/>
    <w:rsid w:val="00640BB2"/>
    <w:rsid w:val="00641653"/>
    <w:rsid w:val="00641F8B"/>
    <w:rsid w:val="0064396D"/>
    <w:rsid w:val="00644943"/>
    <w:rsid w:val="006474E1"/>
    <w:rsid w:val="00650F8F"/>
    <w:rsid w:val="006620BA"/>
    <w:rsid w:val="006650C9"/>
    <w:rsid w:val="00670B3F"/>
    <w:rsid w:val="00680906"/>
    <w:rsid w:val="0068270D"/>
    <w:rsid w:val="0068401C"/>
    <w:rsid w:val="00685D2A"/>
    <w:rsid w:val="00687E58"/>
    <w:rsid w:val="0069128A"/>
    <w:rsid w:val="0069208C"/>
    <w:rsid w:val="00692F6D"/>
    <w:rsid w:val="00696FC5"/>
    <w:rsid w:val="006A04FB"/>
    <w:rsid w:val="006A2DFC"/>
    <w:rsid w:val="006B087E"/>
    <w:rsid w:val="006B6EDF"/>
    <w:rsid w:val="006C1147"/>
    <w:rsid w:val="006C6750"/>
    <w:rsid w:val="006C7878"/>
    <w:rsid w:val="006D6405"/>
    <w:rsid w:val="006D726A"/>
    <w:rsid w:val="006E1283"/>
    <w:rsid w:val="006E7BF8"/>
    <w:rsid w:val="0070284F"/>
    <w:rsid w:val="007179EA"/>
    <w:rsid w:val="007208EB"/>
    <w:rsid w:val="007221A1"/>
    <w:rsid w:val="007235B7"/>
    <w:rsid w:val="00724123"/>
    <w:rsid w:val="00730E88"/>
    <w:rsid w:val="00733C67"/>
    <w:rsid w:val="00734785"/>
    <w:rsid w:val="007351B9"/>
    <w:rsid w:val="007352D3"/>
    <w:rsid w:val="00742CCF"/>
    <w:rsid w:val="007521B7"/>
    <w:rsid w:val="007546E5"/>
    <w:rsid w:val="00756C1A"/>
    <w:rsid w:val="00760399"/>
    <w:rsid w:val="00760D6D"/>
    <w:rsid w:val="00763BC9"/>
    <w:rsid w:val="00764558"/>
    <w:rsid w:val="00765100"/>
    <w:rsid w:val="007655E7"/>
    <w:rsid w:val="00772301"/>
    <w:rsid w:val="00783554"/>
    <w:rsid w:val="0079163E"/>
    <w:rsid w:val="007A6146"/>
    <w:rsid w:val="007B076C"/>
    <w:rsid w:val="007B0FA2"/>
    <w:rsid w:val="007B1F15"/>
    <w:rsid w:val="007B2A75"/>
    <w:rsid w:val="007C1188"/>
    <w:rsid w:val="007C6401"/>
    <w:rsid w:val="007E4759"/>
    <w:rsid w:val="007E51EE"/>
    <w:rsid w:val="007F33C9"/>
    <w:rsid w:val="007F34A5"/>
    <w:rsid w:val="007F5F3D"/>
    <w:rsid w:val="00803609"/>
    <w:rsid w:val="00804282"/>
    <w:rsid w:val="008066EE"/>
    <w:rsid w:val="00806960"/>
    <w:rsid w:val="00813A4B"/>
    <w:rsid w:val="00813F12"/>
    <w:rsid w:val="00815556"/>
    <w:rsid w:val="00815930"/>
    <w:rsid w:val="008174D7"/>
    <w:rsid w:val="008179F7"/>
    <w:rsid w:val="00820F63"/>
    <w:rsid w:val="00826F05"/>
    <w:rsid w:val="008351D5"/>
    <w:rsid w:val="00841C34"/>
    <w:rsid w:val="008425AC"/>
    <w:rsid w:val="00842EDF"/>
    <w:rsid w:val="008430AF"/>
    <w:rsid w:val="008432E9"/>
    <w:rsid w:val="00845843"/>
    <w:rsid w:val="008468AF"/>
    <w:rsid w:val="00846AD3"/>
    <w:rsid w:val="00850FAE"/>
    <w:rsid w:val="008533A1"/>
    <w:rsid w:val="00856D55"/>
    <w:rsid w:val="00861A3B"/>
    <w:rsid w:val="008757F3"/>
    <w:rsid w:val="00876D4D"/>
    <w:rsid w:val="00877F4B"/>
    <w:rsid w:val="008806D8"/>
    <w:rsid w:val="00884BF3"/>
    <w:rsid w:val="00885EB4"/>
    <w:rsid w:val="00887EFA"/>
    <w:rsid w:val="00892021"/>
    <w:rsid w:val="00896985"/>
    <w:rsid w:val="008A0A6D"/>
    <w:rsid w:val="008A794A"/>
    <w:rsid w:val="008C570E"/>
    <w:rsid w:val="008D198C"/>
    <w:rsid w:val="008D1C1D"/>
    <w:rsid w:val="008D4D10"/>
    <w:rsid w:val="008D603E"/>
    <w:rsid w:val="008E0650"/>
    <w:rsid w:val="008E4B9C"/>
    <w:rsid w:val="008F26BF"/>
    <w:rsid w:val="008F702D"/>
    <w:rsid w:val="00900E66"/>
    <w:rsid w:val="00901D52"/>
    <w:rsid w:val="0090288B"/>
    <w:rsid w:val="0090574A"/>
    <w:rsid w:val="00905C64"/>
    <w:rsid w:val="00906F1F"/>
    <w:rsid w:val="0090770B"/>
    <w:rsid w:val="00921413"/>
    <w:rsid w:val="009256D8"/>
    <w:rsid w:val="00925992"/>
    <w:rsid w:val="00926937"/>
    <w:rsid w:val="00933284"/>
    <w:rsid w:val="00936D54"/>
    <w:rsid w:val="00952A31"/>
    <w:rsid w:val="00954EC6"/>
    <w:rsid w:val="00956500"/>
    <w:rsid w:val="009642DD"/>
    <w:rsid w:val="009648A2"/>
    <w:rsid w:val="00967DC9"/>
    <w:rsid w:val="009723A2"/>
    <w:rsid w:val="00974D70"/>
    <w:rsid w:val="00980399"/>
    <w:rsid w:val="0098328F"/>
    <w:rsid w:val="00986E00"/>
    <w:rsid w:val="009879CD"/>
    <w:rsid w:val="0099040C"/>
    <w:rsid w:val="00995AF0"/>
    <w:rsid w:val="009A0E59"/>
    <w:rsid w:val="009A109F"/>
    <w:rsid w:val="009A11D2"/>
    <w:rsid w:val="009A311F"/>
    <w:rsid w:val="009A5281"/>
    <w:rsid w:val="009D09C7"/>
    <w:rsid w:val="009E0881"/>
    <w:rsid w:val="009E32BE"/>
    <w:rsid w:val="009E3DAB"/>
    <w:rsid w:val="009F14E8"/>
    <w:rsid w:val="009F4119"/>
    <w:rsid w:val="00A07549"/>
    <w:rsid w:val="00A11456"/>
    <w:rsid w:val="00A11FE2"/>
    <w:rsid w:val="00A1356C"/>
    <w:rsid w:val="00A20E44"/>
    <w:rsid w:val="00A27099"/>
    <w:rsid w:val="00A3178B"/>
    <w:rsid w:val="00A4097F"/>
    <w:rsid w:val="00A44495"/>
    <w:rsid w:val="00A45B0E"/>
    <w:rsid w:val="00A47568"/>
    <w:rsid w:val="00A47B29"/>
    <w:rsid w:val="00A54A15"/>
    <w:rsid w:val="00A5536C"/>
    <w:rsid w:val="00A5783F"/>
    <w:rsid w:val="00A65637"/>
    <w:rsid w:val="00A6662B"/>
    <w:rsid w:val="00A668C5"/>
    <w:rsid w:val="00A66E5E"/>
    <w:rsid w:val="00A671B7"/>
    <w:rsid w:val="00A72E58"/>
    <w:rsid w:val="00A735CF"/>
    <w:rsid w:val="00A742D3"/>
    <w:rsid w:val="00A75A34"/>
    <w:rsid w:val="00A76549"/>
    <w:rsid w:val="00A7763F"/>
    <w:rsid w:val="00A85571"/>
    <w:rsid w:val="00A8625B"/>
    <w:rsid w:val="00A8672A"/>
    <w:rsid w:val="00A91138"/>
    <w:rsid w:val="00A92F37"/>
    <w:rsid w:val="00A939E2"/>
    <w:rsid w:val="00A96049"/>
    <w:rsid w:val="00A97D18"/>
    <w:rsid w:val="00AB0C17"/>
    <w:rsid w:val="00AB1ABD"/>
    <w:rsid w:val="00AB1E6B"/>
    <w:rsid w:val="00AB7646"/>
    <w:rsid w:val="00AB78E7"/>
    <w:rsid w:val="00AB7D8E"/>
    <w:rsid w:val="00AC0036"/>
    <w:rsid w:val="00AC0A3E"/>
    <w:rsid w:val="00AC0D94"/>
    <w:rsid w:val="00AC1F68"/>
    <w:rsid w:val="00AC2765"/>
    <w:rsid w:val="00AC5CCE"/>
    <w:rsid w:val="00AC7002"/>
    <w:rsid w:val="00AC7570"/>
    <w:rsid w:val="00AD40E7"/>
    <w:rsid w:val="00AD70C6"/>
    <w:rsid w:val="00AD7622"/>
    <w:rsid w:val="00AE084E"/>
    <w:rsid w:val="00AE0C5C"/>
    <w:rsid w:val="00AE1FA7"/>
    <w:rsid w:val="00AE2133"/>
    <w:rsid w:val="00AE2F47"/>
    <w:rsid w:val="00AE3122"/>
    <w:rsid w:val="00AE6937"/>
    <w:rsid w:val="00AF3477"/>
    <w:rsid w:val="00AF4965"/>
    <w:rsid w:val="00AF5533"/>
    <w:rsid w:val="00AF5FE5"/>
    <w:rsid w:val="00B034A0"/>
    <w:rsid w:val="00B1294F"/>
    <w:rsid w:val="00B172CC"/>
    <w:rsid w:val="00B23EF2"/>
    <w:rsid w:val="00B2659C"/>
    <w:rsid w:val="00B2776B"/>
    <w:rsid w:val="00B3093E"/>
    <w:rsid w:val="00B33231"/>
    <w:rsid w:val="00B33E88"/>
    <w:rsid w:val="00B34E76"/>
    <w:rsid w:val="00B43D2C"/>
    <w:rsid w:val="00B451CA"/>
    <w:rsid w:val="00B46B82"/>
    <w:rsid w:val="00B521A2"/>
    <w:rsid w:val="00B530BD"/>
    <w:rsid w:val="00B53F6B"/>
    <w:rsid w:val="00B57D67"/>
    <w:rsid w:val="00B62B4D"/>
    <w:rsid w:val="00B740DF"/>
    <w:rsid w:val="00B80014"/>
    <w:rsid w:val="00B80933"/>
    <w:rsid w:val="00B831A1"/>
    <w:rsid w:val="00B83806"/>
    <w:rsid w:val="00B84829"/>
    <w:rsid w:val="00B849A6"/>
    <w:rsid w:val="00B93963"/>
    <w:rsid w:val="00B93CEF"/>
    <w:rsid w:val="00B95014"/>
    <w:rsid w:val="00BA042A"/>
    <w:rsid w:val="00BA4000"/>
    <w:rsid w:val="00BB1A24"/>
    <w:rsid w:val="00BB2425"/>
    <w:rsid w:val="00BB5E53"/>
    <w:rsid w:val="00BC061F"/>
    <w:rsid w:val="00BC3984"/>
    <w:rsid w:val="00BD28D9"/>
    <w:rsid w:val="00BD2FE9"/>
    <w:rsid w:val="00BD4DEA"/>
    <w:rsid w:val="00BD651A"/>
    <w:rsid w:val="00BE05C2"/>
    <w:rsid w:val="00BE30D9"/>
    <w:rsid w:val="00BE3E3D"/>
    <w:rsid w:val="00BF2229"/>
    <w:rsid w:val="00BF7DD1"/>
    <w:rsid w:val="00C02790"/>
    <w:rsid w:val="00C04B0D"/>
    <w:rsid w:val="00C0655F"/>
    <w:rsid w:val="00C16589"/>
    <w:rsid w:val="00C17A0F"/>
    <w:rsid w:val="00C22F3D"/>
    <w:rsid w:val="00C23BBE"/>
    <w:rsid w:val="00C240B1"/>
    <w:rsid w:val="00C30A7B"/>
    <w:rsid w:val="00C32902"/>
    <w:rsid w:val="00C337B1"/>
    <w:rsid w:val="00C37E6D"/>
    <w:rsid w:val="00C40B5A"/>
    <w:rsid w:val="00C416B9"/>
    <w:rsid w:val="00C43B26"/>
    <w:rsid w:val="00C43C81"/>
    <w:rsid w:val="00C441DA"/>
    <w:rsid w:val="00C503EB"/>
    <w:rsid w:val="00C53ACD"/>
    <w:rsid w:val="00C54CA0"/>
    <w:rsid w:val="00C57AE6"/>
    <w:rsid w:val="00C57EDB"/>
    <w:rsid w:val="00C61475"/>
    <w:rsid w:val="00C6189A"/>
    <w:rsid w:val="00C62BA8"/>
    <w:rsid w:val="00C64220"/>
    <w:rsid w:val="00C656AE"/>
    <w:rsid w:val="00C660AE"/>
    <w:rsid w:val="00C7014C"/>
    <w:rsid w:val="00C71018"/>
    <w:rsid w:val="00C71D39"/>
    <w:rsid w:val="00C71F58"/>
    <w:rsid w:val="00C720E3"/>
    <w:rsid w:val="00C7586F"/>
    <w:rsid w:val="00C768F3"/>
    <w:rsid w:val="00C809F8"/>
    <w:rsid w:val="00C8452B"/>
    <w:rsid w:val="00C86587"/>
    <w:rsid w:val="00C90C1E"/>
    <w:rsid w:val="00C90DA6"/>
    <w:rsid w:val="00C91F5E"/>
    <w:rsid w:val="00C92A49"/>
    <w:rsid w:val="00C95B09"/>
    <w:rsid w:val="00C96DC7"/>
    <w:rsid w:val="00CA769F"/>
    <w:rsid w:val="00CB2614"/>
    <w:rsid w:val="00CB797A"/>
    <w:rsid w:val="00CB7F17"/>
    <w:rsid w:val="00CC1866"/>
    <w:rsid w:val="00CC2F17"/>
    <w:rsid w:val="00CC483C"/>
    <w:rsid w:val="00CC6BCA"/>
    <w:rsid w:val="00CD2277"/>
    <w:rsid w:val="00CD239B"/>
    <w:rsid w:val="00CD2605"/>
    <w:rsid w:val="00CE4DF3"/>
    <w:rsid w:val="00CF01FB"/>
    <w:rsid w:val="00CF07B3"/>
    <w:rsid w:val="00CF1062"/>
    <w:rsid w:val="00CF5D9A"/>
    <w:rsid w:val="00D0032E"/>
    <w:rsid w:val="00D01F6F"/>
    <w:rsid w:val="00D045D4"/>
    <w:rsid w:val="00D11CB0"/>
    <w:rsid w:val="00D15393"/>
    <w:rsid w:val="00D16FD0"/>
    <w:rsid w:val="00D20734"/>
    <w:rsid w:val="00D25158"/>
    <w:rsid w:val="00D31AD9"/>
    <w:rsid w:val="00D333C2"/>
    <w:rsid w:val="00D35BCC"/>
    <w:rsid w:val="00D44081"/>
    <w:rsid w:val="00D46781"/>
    <w:rsid w:val="00D56CC0"/>
    <w:rsid w:val="00D731CC"/>
    <w:rsid w:val="00D75E53"/>
    <w:rsid w:val="00D76184"/>
    <w:rsid w:val="00D77B18"/>
    <w:rsid w:val="00D803E1"/>
    <w:rsid w:val="00D84723"/>
    <w:rsid w:val="00D86CE7"/>
    <w:rsid w:val="00D96826"/>
    <w:rsid w:val="00D97B6D"/>
    <w:rsid w:val="00DB1DE1"/>
    <w:rsid w:val="00DB51DC"/>
    <w:rsid w:val="00DC5432"/>
    <w:rsid w:val="00DD0707"/>
    <w:rsid w:val="00DD08A5"/>
    <w:rsid w:val="00DD0E97"/>
    <w:rsid w:val="00DD4150"/>
    <w:rsid w:val="00DD463E"/>
    <w:rsid w:val="00DD542E"/>
    <w:rsid w:val="00DD6856"/>
    <w:rsid w:val="00DE05B8"/>
    <w:rsid w:val="00DE2798"/>
    <w:rsid w:val="00DE3819"/>
    <w:rsid w:val="00DE503C"/>
    <w:rsid w:val="00DF0CB3"/>
    <w:rsid w:val="00DF11F5"/>
    <w:rsid w:val="00E034F7"/>
    <w:rsid w:val="00E03CCC"/>
    <w:rsid w:val="00E065F0"/>
    <w:rsid w:val="00E07DB1"/>
    <w:rsid w:val="00E10AE9"/>
    <w:rsid w:val="00E1293D"/>
    <w:rsid w:val="00E12E73"/>
    <w:rsid w:val="00E155AC"/>
    <w:rsid w:val="00E171DE"/>
    <w:rsid w:val="00E21F9B"/>
    <w:rsid w:val="00E23A2B"/>
    <w:rsid w:val="00E2650A"/>
    <w:rsid w:val="00E30067"/>
    <w:rsid w:val="00E35057"/>
    <w:rsid w:val="00E3603E"/>
    <w:rsid w:val="00E37D02"/>
    <w:rsid w:val="00E42C74"/>
    <w:rsid w:val="00E462E5"/>
    <w:rsid w:val="00E47545"/>
    <w:rsid w:val="00E518C3"/>
    <w:rsid w:val="00E51F4A"/>
    <w:rsid w:val="00E64902"/>
    <w:rsid w:val="00E65E71"/>
    <w:rsid w:val="00E71CC4"/>
    <w:rsid w:val="00E77A08"/>
    <w:rsid w:val="00E80271"/>
    <w:rsid w:val="00E81A9E"/>
    <w:rsid w:val="00E83160"/>
    <w:rsid w:val="00E838DC"/>
    <w:rsid w:val="00E83DC8"/>
    <w:rsid w:val="00E8604A"/>
    <w:rsid w:val="00E9487F"/>
    <w:rsid w:val="00EA20E7"/>
    <w:rsid w:val="00EA3FB5"/>
    <w:rsid w:val="00EA4167"/>
    <w:rsid w:val="00EA645B"/>
    <w:rsid w:val="00EB0440"/>
    <w:rsid w:val="00EB1014"/>
    <w:rsid w:val="00EB1656"/>
    <w:rsid w:val="00EB256B"/>
    <w:rsid w:val="00EB4775"/>
    <w:rsid w:val="00EB64AB"/>
    <w:rsid w:val="00EB706D"/>
    <w:rsid w:val="00EB751B"/>
    <w:rsid w:val="00EC3401"/>
    <w:rsid w:val="00EC63CD"/>
    <w:rsid w:val="00EC63DA"/>
    <w:rsid w:val="00EC6D91"/>
    <w:rsid w:val="00ED004C"/>
    <w:rsid w:val="00ED18E3"/>
    <w:rsid w:val="00ED4DD5"/>
    <w:rsid w:val="00ED51A0"/>
    <w:rsid w:val="00EE0E68"/>
    <w:rsid w:val="00EE497C"/>
    <w:rsid w:val="00EE658E"/>
    <w:rsid w:val="00EF196F"/>
    <w:rsid w:val="00EF6241"/>
    <w:rsid w:val="00EF6D6B"/>
    <w:rsid w:val="00F06754"/>
    <w:rsid w:val="00F20B51"/>
    <w:rsid w:val="00F23988"/>
    <w:rsid w:val="00F24665"/>
    <w:rsid w:val="00F26B70"/>
    <w:rsid w:val="00F27F4A"/>
    <w:rsid w:val="00F3276C"/>
    <w:rsid w:val="00F34927"/>
    <w:rsid w:val="00F41E30"/>
    <w:rsid w:val="00F42C4B"/>
    <w:rsid w:val="00F467AC"/>
    <w:rsid w:val="00F46F7D"/>
    <w:rsid w:val="00F62F20"/>
    <w:rsid w:val="00F64D22"/>
    <w:rsid w:val="00F65BD5"/>
    <w:rsid w:val="00F674D9"/>
    <w:rsid w:val="00F72586"/>
    <w:rsid w:val="00F727EA"/>
    <w:rsid w:val="00F73B59"/>
    <w:rsid w:val="00F77E79"/>
    <w:rsid w:val="00F81488"/>
    <w:rsid w:val="00F91CF0"/>
    <w:rsid w:val="00F94ACE"/>
    <w:rsid w:val="00F9602C"/>
    <w:rsid w:val="00F967FA"/>
    <w:rsid w:val="00FA19DF"/>
    <w:rsid w:val="00FA29A8"/>
    <w:rsid w:val="00FA2FCA"/>
    <w:rsid w:val="00FA7721"/>
    <w:rsid w:val="00FB1D15"/>
    <w:rsid w:val="00FB3BD7"/>
    <w:rsid w:val="00FB7A4A"/>
    <w:rsid w:val="00FC26FB"/>
    <w:rsid w:val="00FC28B5"/>
    <w:rsid w:val="00FC2970"/>
    <w:rsid w:val="00FD3989"/>
    <w:rsid w:val="00FD4F3B"/>
    <w:rsid w:val="00FD5C54"/>
    <w:rsid w:val="00FD7E35"/>
    <w:rsid w:val="00FE0DAF"/>
    <w:rsid w:val="00FE1FF7"/>
    <w:rsid w:val="00FE2AB3"/>
    <w:rsid w:val="00FF1B51"/>
    <w:rsid w:val="00FF1BCB"/>
    <w:rsid w:val="00FF71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08FB3"/>
  <w15:chartTrackingRefBased/>
  <w15:docId w15:val="{07845FD7-21E4-445C-88F6-FE3F20AA4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84E"/>
    <w:pPr>
      <w:tabs>
        <w:tab w:val="left" w:pos="720"/>
      </w:tabs>
      <w:jc w:val="both"/>
    </w:pPr>
    <w:rPr>
      <w:sz w:val="24"/>
      <w:szCs w:val="22"/>
      <w:lang w:eastAsia="en-US"/>
    </w:rPr>
  </w:style>
  <w:style w:type="paragraph" w:styleId="Heading1">
    <w:name w:val="heading 1"/>
    <w:basedOn w:val="Normal"/>
    <w:link w:val="Heading1Char"/>
    <w:qFormat/>
    <w:rsid w:val="00E81A9E"/>
    <w:pPr>
      <w:tabs>
        <w:tab w:val="clear" w:pos="720"/>
      </w:tabs>
      <w:spacing w:before="100" w:beforeAutospacing="1" w:after="100" w:afterAutospacing="1"/>
      <w:jc w:val="center"/>
      <w:outlineLvl w:val="0"/>
    </w:pPr>
    <w:rPr>
      <w:rFonts w:eastAsia="Times New Roman"/>
      <w:b/>
      <w:bCs/>
      <w:kern w:val="36"/>
      <w:sz w:val="16"/>
      <w:szCs w:val="16"/>
      <w:lang w:eastAsia="lt-LT"/>
    </w:rPr>
  </w:style>
  <w:style w:type="paragraph" w:styleId="Heading2">
    <w:name w:val="heading 2"/>
    <w:basedOn w:val="Heading1"/>
    <w:next w:val="Normal"/>
    <w:link w:val="Heading2Char"/>
    <w:uiPriority w:val="9"/>
    <w:unhideWhenUsed/>
    <w:qFormat/>
    <w:rsid w:val="00F20B51"/>
    <w:pPr>
      <w:tabs>
        <w:tab w:val="left" w:pos="567"/>
        <w:tab w:val="left" w:pos="993"/>
      </w:tabs>
      <w:suppressAutoHyphens/>
      <w:autoSpaceDE w:val="0"/>
      <w:autoSpaceDN w:val="0"/>
      <w:adjustRightInd w:val="0"/>
      <w:spacing w:before="0" w:beforeAutospacing="0" w:after="0" w:afterAutospacing="0" w:line="298" w:lineRule="auto"/>
      <w:ind w:firstLine="924"/>
      <w:jc w:val="both"/>
      <w:textAlignment w:val="center"/>
      <w:outlineLvl w:val="1"/>
    </w:pPr>
    <w:rPr>
      <w:rFonts w:asciiTheme="minorHAnsi" w:hAnsiTheme="minorHAnsi"/>
      <w:b w:val="0"/>
      <w:bCs w:val="0"/>
      <w:color w:val="000000"/>
      <w:kern w:val="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81A9E"/>
    <w:rPr>
      <w:rFonts w:eastAsia="Times New Roman"/>
      <w:b/>
      <w:bCs/>
      <w:kern w:val="36"/>
      <w:sz w:val="16"/>
      <w:szCs w:val="16"/>
    </w:rPr>
  </w:style>
  <w:style w:type="character" w:styleId="Hyperlink">
    <w:name w:val="Hyperlink"/>
    <w:uiPriority w:val="99"/>
    <w:unhideWhenUsed/>
    <w:rsid w:val="00E81A9E"/>
    <w:rPr>
      <w:color w:val="000000"/>
      <w:u w:val="single"/>
    </w:rPr>
  </w:style>
  <w:style w:type="paragraph" w:styleId="Title">
    <w:name w:val="Title"/>
    <w:basedOn w:val="Normal"/>
    <w:link w:val="TitleChar"/>
    <w:uiPriority w:val="10"/>
    <w:qFormat/>
    <w:rsid w:val="00E81A9E"/>
    <w:pPr>
      <w:tabs>
        <w:tab w:val="clear" w:pos="720"/>
      </w:tabs>
      <w:spacing w:before="100" w:beforeAutospacing="1" w:after="100" w:afterAutospacing="1"/>
      <w:jc w:val="left"/>
    </w:pPr>
    <w:rPr>
      <w:rFonts w:eastAsia="Times New Roman"/>
      <w:szCs w:val="24"/>
      <w:lang w:eastAsia="lt-LT"/>
    </w:rPr>
  </w:style>
  <w:style w:type="character" w:customStyle="1" w:styleId="TitleChar">
    <w:name w:val="Title Char"/>
    <w:link w:val="Title"/>
    <w:uiPriority w:val="10"/>
    <w:rsid w:val="00E81A9E"/>
    <w:rPr>
      <w:rFonts w:eastAsia="Times New Roman"/>
      <w:sz w:val="24"/>
      <w:szCs w:val="24"/>
    </w:rPr>
  </w:style>
  <w:style w:type="paragraph" w:customStyle="1" w:styleId="bodytext">
    <w:name w:val="bodytext"/>
    <w:basedOn w:val="Normal"/>
    <w:rsid w:val="00E81A9E"/>
    <w:pPr>
      <w:tabs>
        <w:tab w:val="clear" w:pos="720"/>
      </w:tabs>
      <w:spacing w:before="100" w:beforeAutospacing="1" w:after="100" w:afterAutospacing="1"/>
      <w:jc w:val="left"/>
    </w:pPr>
    <w:rPr>
      <w:rFonts w:eastAsia="Times New Roman"/>
      <w:szCs w:val="24"/>
      <w:lang w:eastAsia="lt-LT"/>
    </w:rPr>
  </w:style>
  <w:style w:type="paragraph" w:styleId="ListParagraph">
    <w:name w:val="List Paragraph"/>
    <w:aliases w:val="Buletai,Bullet EY,List Paragraph21,List Paragraph1,List Paragraph2,lp1,Bullet 1,Use Case List Paragraph,Numbering,ERP-List Paragraph,List Paragraph11,List Paragraph111,Paragraph,List Paragraph Red,List not in Table"/>
    <w:basedOn w:val="Normal"/>
    <w:link w:val="ListParagraphChar"/>
    <w:uiPriority w:val="34"/>
    <w:qFormat/>
    <w:rsid w:val="00E81A9E"/>
    <w:pPr>
      <w:tabs>
        <w:tab w:val="clear" w:pos="720"/>
      </w:tabs>
      <w:spacing w:before="100" w:beforeAutospacing="1" w:after="100" w:afterAutospacing="1"/>
      <w:jc w:val="left"/>
    </w:pPr>
    <w:rPr>
      <w:rFonts w:eastAsia="Times New Roman"/>
      <w:szCs w:val="24"/>
      <w:lang w:eastAsia="lt-LT"/>
    </w:rPr>
  </w:style>
  <w:style w:type="character" w:styleId="Strong">
    <w:name w:val="Strong"/>
    <w:uiPriority w:val="22"/>
    <w:qFormat/>
    <w:rsid w:val="00E81A9E"/>
    <w:rPr>
      <w:b/>
      <w:bCs/>
    </w:rPr>
  </w:style>
  <w:style w:type="table" w:styleId="TableGrid">
    <w:name w:val="Table Grid"/>
    <w:basedOn w:val="TableNormal"/>
    <w:uiPriority w:val="59"/>
    <w:rsid w:val="00C44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C7A54"/>
    <w:pPr>
      <w:autoSpaceDE w:val="0"/>
      <w:autoSpaceDN w:val="0"/>
      <w:adjustRightInd w:val="0"/>
    </w:pPr>
    <w:rPr>
      <w:rFonts w:ascii="EUAlbertina" w:eastAsia="Times New Roman" w:hAnsi="EUAlbertina" w:cs="EUAlbertina"/>
      <w:color w:val="000000"/>
      <w:sz w:val="24"/>
      <w:szCs w:val="24"/>
    </w:rPr>
  </w:style>
  <w:style w:type="paragraph" w:customStyle="1" w:styleId="CM4">
    <w:name w:val="CM4"/>
    <w:basedOn w:val="Default"/>
    <w:next w:val="Default"/>
    <w:uiPriority w:val="99"/>
    <w:rsid w:val="000C7A54"/>
    <w:pPr>
      <w:spacing w:before="60" w:after="60"/>
    </w:pPr>
    <w:rPr>
      <w:rFonts w:cs="Times New Roman"/>
      <w:color w:val="auto"/>
    </w:rPr>
  </w:style>
  <w:style w:type="paragraph" w:customStyle="1" w:styleId="Hyperlink1">
    <w:name w:val="Hyperlink1"/>
    <w:basedOn w:val="Normal"/>
    <w:rsid w:val="00240870"/>
    <w:pPr>
      <w:tabs>
        <w:tab w:val="clear" w:pos="720"/>
      </w:tabs>
      <w:autoSpaceDE w:val="0"/>
      <w:autoSpaceDN w:val="0"/>
      <w:ind w:firstLine="312"/>
    </w:pPr>
    <w:rPr>
      <w:rFonts w:ascii="TimesLT" w:hAnsi="TimesLT"/>
      <w:sz w:val="20"/>
      <w:szCs w:val="20"/>
      <w:lang w:eastAsia="lt-LT"/>
    </w:rPr>
  </w:style>
  <w:style w:type="character" w:styleId="CommentReference">
    <w:name w:val="annotation reference"/>
    <w:unhideWhenUsed/>
    <w:rsid w:val="00313A35"/>
    <w:rPr>
      <w:sz w:val="16"/>
      <w:szCs w:val="16"/>
    </w:rPr>
  </w:style>
  <w:style w:type="paragraph" w:styleId="CommentText">
    <w:name w:val="annotation text"/>
    <w:basedOn w:val="Normal"/>
    <w:link w:val="CommentTextChar"/>
    <w:uiPriority w:val="99"/>
    <w:unhideWhenUsed/>
    <w:rsid w:val="00313A35"/>
    <w:pPr>
      <w:tabs>
        <w:tab w:val="clear" w:pos="720"/>
      </w:tabs>
    </w:pPr>
    <w:rPr>
      <w:rFonts w:eastAsia="Times New Roman"/>
      <w:sz w:val="20"/>
      <w:szCs w:val="20"/>
    </w:rPr>
  </w:style>
  <w:style w:type="character" w:customStyle="1" w:styleId="CommentTextChar">
    <w:name w:val="Comment Text Char"/>
    <w:link w:val="CommentText"/>
    <w:uiPriority w:val="99"/>
    <w:rsid w:val="00313A35"/>
    <w:rPr>
      <w:rFonts w:eastAsia="Times New Roman"/>
      <w:lang w:eastAsia="en-US"/>
    </w:rPr>
  </w:style>
  <w:style w:type="paragraph" w:styleId="BalloonText">
    <w:name w:val="Balloon Text"/>
    <w:basedOn w:val="Normal"/>
    <w:link w:val="BalloonTextChar"/>
    <w:uiPriority w:val="99"/>
    <w:semiHidden/>
    <w:unhideWhenUsed/>
    <w:rsid w:val="00313A35"/>
    <w:rPr>
      <w:rFonts w:ascii="Tahoma" w:hAnsi="Tahoma" w:cs="Tahoma"/>
      <w:sz w:val="16"/>
      <w:szCs w:val="16"/>
    </w:rPr>
  </w:style>
  <w:style w:type="character" w:customStyle="1" w:styleId="BalloonTextChar">
    <w:name w:val="Balloon Text Char"/>
    <w:link w:val="BalloonText"/>
    <w:uiPriority w:val="99"/>
    <w:semiHidden/>
    <w:rsid w:val="00313A35"/>
    <w:rPr>
      <w:rFonts w:ascii="Tahoma" w:hAnsi="Tahoma" w:cs="Tahoma"/>
      <w:sz w:val="16"/>
      <w:szCs w:val="16"/>
      <w:lang w:eastAsia="en-US"/>
    </w:rPr>
  </w:style>
  <w:style w:type="paragraph" w:styleId="Header">
    <w:name w:val="header"/>
    <w:basedOn w:val="Normal"/>
    <w:link w:val="HeaderChar"/>
    <w:uiPriority w:val="99"/>
    <w:unhideWhenUsed/>
    <w:rsid w:val="00BB1A24"/>
    <w:pPr>
      <w:tabs>
        <w:tab w:val="clear" w:pos="720"/>
        <w:tab w:val="center" w:pos="4819"/>
        <w:tab w:val="right" w:pos="9638"/>
      </w:tabs>
    </w:pPr>
  </w:style>
  <w:style w:type="character" w:customStyle="1" w:styleId="HeaderChar">
    <w:name w:val="Header Char"/>
    <w:link w:val="Header"/>
    <w:uiPriority w:val="99"/>
    <w:rsid w:val="00BB1A24"/>
    <w:rPr>
      <w:sz w:val="24"/>
      <w:szCs w:val="22"/>
      <w:lang w:eastAsia="en-US"/>
    </w:rPr>
  </w:style>
  <w:style w:type="paragraph" w:styleId="Footer">
    <w:name w:val="footer"/>
    <w:basedOn w:val="Normal"/>
    <w:link w:val="FooterChar"/>
    <w:uiPriority w:val="99"/>
    <w:unhideWhenUsed/>
    <w:rsid w:val="00BB1A24"/>
    <w:pPr>
      <w:tabs>
        <w:tab w:val="clear" w:pos="720"/>
        <w:tab w:val="center" w:pos="4819"/>
        <w:tab w:val="right" w:pos="9638"/>
      </w:tabs>
    </w:pPr>
  </w:style>
  <w:style w:type="character" w:customStyle="1" w:styleId="FooterChar">
    <w:name w:val="Footer Char"/>
    <w:link w:val="Footer"/>
    <w:uiPriority w:val="99"/>
    <w:rsid w:val="00BB1A24"/>
    <w:rPr>
      <w:sz w:val="24"/>
      <w:szCs w:val="22"/>
      <w:lang w:eastAsia="en-US"/>
    </w:rPr>
  </w:style>
  <w:style w:type="paragraph" w:styleId="CommentSubject">
    <w:name w:val="annotation subject"/>
    <w:basedOn w:val="CommentText"/>
    <w:next w:val="CommentText"/>
    <w:link w:val="CommentSubjectChar"/>
    <w:uiPriority w:val="99"/>
    <w:semiHidden/>
    <w:unhideWhenUsed/>
    <w:rsid w:val="00A65637"/>
    <w:pPr>
      <w:tabs>
        <w:tab w:val="left" w:pos="720"/>
      </w:tabs>
    </w:pPr>
    <w:rPr>
      <w:rFonts w:eastAsia="Calibri"/>
      <w:b/>
      <w:bCs/>
    </w:rPr>
  </w:style>
  <w:style w:type="character" w:customStyle="1" w:styleId="CommentSubjectChar">
    <w:name w:val="Comment Subject Char"/>
    <w:link w:val="CommentSubject"/>
    <w:uiPriority w:val="99"/>
    <w:semiHidden/>
    <w:rsid w:val="00A65637"/>
    <w:rPr>
      <w:rFonts w:eastAsia="Times New Roman"/>
      <w:b/>
      <w:bCs/>
      <w:lang w:eastAsia="en-US"/>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locked/>
    <w:rsid w:val="00E2650A"/>
    <w:rPr>
      <w:rFonts w:eastAsia="Times New Roman"/>
      <w:sz w:val="24"/>
      <w:szCs w:val="24"/>
    </w:rPr>
  </w:style>
  <w:style w:type="paragraph" w:styleId="NoSpacing">
    <w:name w:val="No Spacing"/>
    <w:link w:val="NoSpacingChar"/>
    <w:uiPriority w:val="1"/>
    <w:qFormat/>
    <w:rsid w:val="00C96DC7"/>
    <w:rPr>
      <w:rFonts w:eastAsia="Times New Roman"/>
      <w:sz w:val="24"/>
      <w:szCs w:val="24"/>
      <w:lang w:eastAsia="en-US"/>
    </w:rPr>
  </w:style>
  <w:style w:type="character" w:customStyle="1" w:styleId="NoSpacingChar">
    <w:name w:val="No Spacing Char"/>
    <w:basedOn w:val="DefaultParagraphFont"/>
    <w:link w:val="NoSpacing"/>
    <w:uiPriority w:val="1"/>
    <w:rsid w:val="00C96DC7"/>
    <w:rPr>
      <w:rFonts w:eastAsia="Times New Roman"/>
      <w:sz w:val="24"/>
      <w:szCs w:val="24"/>
      <w:lang w:eastAsia="en-US"/>
    </w:rPr>
  </w:style>
  <w:style w:type="paragraph" w:styleId="FootnoteText">
    <w:name w:val="footnote text"/>
    <w:basedOn w:val="Normal"/>
    <w:link w:val="FootnoteTextChar"/>
    <w:uiPriority w:val="99"/>
    <w:semiHidden/>
    <w:unhideWhenUsed/>
    <w:rsid w:val="00011876"/>
    <w:pPr>
      <w:pBdr>
        <w:top w:val="nil"/>
        <w:left w:val="nil"/>
        <w:bottom w:val="nil"/>
        <w:right w:val="nil"/>
        <w:between w:val="nil"/>
        <w:bar w:val="nil"/>
      </w:pBdr>
      <w:tabs>
        <w:tab w:val="clear" w:pos="720"/>
      </w:tabs>
      <w:jc w:val="left"/>
    </w:pPr>
    <w:rPr>
      <w:rFonts w:eastAsia="Arial Unicode MS"/>
      <w:sz w:val="20"/>
      <w:szCs w:val="20"/>
      <w:bdr w:val="nil"/>
    </w:rPr>
  </w:style>
  <w:style w:type="character" w:customStyle="1" w:styleId="FootnoteTextChar">
    <w:name w:val="Footnote Text Char"/>
    <w:basedOn w:val="DefaultParagraphFont"/>
    <w:link w:val="FootnoteText"/>
    <w:uiPriority w:val="99"/>
    <w:semiHidden/>
    <w:rsid w:val="00011876"/>
    <w:rPr>
      <w:rFonts w:eastAsia="Arial Unicode MS"/>
      <w:bdr w:val="nil"/>
      <w:lang w:eastAsia="en-US"/>
    </w:rPr>
  </w:style>
  <w:style w:type="character" w:styleId="FootnoteReference">
    <w:name w:val="footnote reference"/>
    <w:basedOn w:val="DefaultParagraphFont"/>
    <w:uiPriority w:val="99"/>
    <w:unhideWhenUsed/>
    <w:rsid w:val="00011876"/>
    <w:rPr>
      <w:vertAlign w:val="superscript"/>
    </w:rPr>
  </w:style>
  <w:style w:type="paragraph" w:styleId="PlainText">
    <w:name w:val="Plain Text"/>
    <w:basedOn w:val="Normal"/>
    <w:link w:val="PlainTextChar"/>
    <w:rsid w:val="00462961"/>
    <w:pPr>
      <w:tabs>
        <w:tab w:val="clear" w:pos="720"/>
      </w:tabs>
      <w:spacing w:before="100" w:beforeAutospacing="1" w:after="100" w:afterAutospacing="1"/>
      <w:jc w:val="left"/>
    </w:pPr>
    <w:rPr>
      <w:rFonts w:eastAsia="MS Mincho"/>
      <w:szCs w:val="24"/>
      <w:lang w:eastAsia="lt-LT"/>
    </w:rPr>
  </w:style>
  <w:style w:type="character" w:customStyle="1" w:styleId="PlainTextChar">
    <w:name w:val="Plain Text Char"/>
    <w:basedOn w:val="DefaultParagraphFont"/>
    <w:link w:val="PlainText"/>
    <w:rsid w:val="00462961"/>
    <w:rPr>
      <w:rFonts w:eastAsia="MS Mincho"/>
      <w:sz w:val="24"/>
      <w:szCs w:val="24"/>
    </w:rPr>
  </w:style>
  <w:style w:type="character" w:customStyle="1" w:styleId="Heading2Char">
    <w:name w:val="Heading 2 Char"/>
    <w:basedOn w:val="DefaultParagraphFont"/>
    <w:link w:val="Heading2"/>
    <w:uiPriority w:val="9"/>
    <w:rsid w:val="00F20B51"/>
    <w:rPr>
      <w:rFonts w:asciiTheme="minorHAnsi" w:eastAsia="Times New Roman" w:hAnsiTheme="minorHAnsi"/>
      <w:color w:val="000000"/>
      <w:sz w:val="24"/>
      <w:szCs w:val="24"/>
    </w:rPr>
  </w:style>
  <w:style w:type="character" w:customStyle="1" w:styleId="clear">
    <w:name w:val="clear"/>
    <w:basedOn w:val="DefaultParagraphFont"/>
    <w:rsid w:val="000F0924"/>
  </w:style>
  <w:style w:type="character" w:styleId="UnresolvedMention">
    <w:name w:val="Unresolved Mention"/>
    <w:basedOn w:val="DefaultParagraphFont"/>
    <w:uiPriority w:val="99"/>
    <w:semiHidden/>
    <w:unhideWhenUsed/>
    <w:rsid w:val="00EC6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26287">
      <w:bodyDiv w:val="1"/>
      <w:marLeft w:val="0"/>
      <w:marRight w:val="0"/>
      <w:marTop w:val="0"/>
      <w:marBottom w:val="0"/>
      <w:divBdr>
        <w:top w:val="none" w:sz="0" w:space="0" w:color="auto"/>
        <w:left w:val="none" w:sz="0" w:space="0" w:color="auto"/>
        <w:bottom w:val="none" w:sz="0" w:space="0" w:color="auto"/>
        <w:right w:val="none" w:sz="0" w:space="0" w:color="auto"/>
      </w:divBdr>
    </w:div>
    <w:div w:id="426734538">
      <w:bodyDiv w:val="1"/>
      <w:marLeft w:val="0"/>
      <w:marRight w:val="0"/>
      <w:marTop w:val="0"/>
      <w:marBottom w:val="0"/>
      <w:divBdr>
        <w:top w:val="none" w:sz="0" w:space="0" w:color="auto"/>
        <w:left w:val="none" w:sz="0" w:space="0" w:color="auto"/>
        <w:bottom w:val="none" w:sz="0" w:space="0" w:color="auto"/>
        <w:right w:val="none" w:sz="0" w:space="0" w:color="auto"/>
      </w:divBdr>
    </w:div>
    <w:div w:id="450441528">
      <w:bodyDiv w:val="1"/>
      <w:marLeft w:val="0"/>
      <w:marRight w:val="0"/>
      <w:marTop w:val="0"/>
      <w:marBottom w:val="0"/>
      <w:divBdr>
        <w:top w:val="none" w:sz="0" w:space="0" w:color="auto"/>
        <w:left w:val="none" w:sz="0" w:space="0" w:color="auto"/>
        <w:bottom w:val="none" w:sz="0" w:space="0" w:color="auto"/>
        <w:right w:val="none" w:sz="0" w:space="0" w:color="auto"/>
      </w:divBdr>
    </w:div>
    <w:div w:id="563833175">
      <w:bodyDiv w:val="1"/>
      <w:marLeft w:val="0"/>
      <w:marRight w:val="0"/>
      <w:marTop w:val="0"/>
      <w:marBottom w:val="0"/>
      <w:divBdr>
        <w:top w:val="none" w:sz="0" w:space="0" w:color="auto"/>
        <w:left w:val="none" w:sz="0" w:space="0" w:color="auto"/>
        <w:bottom w:val="none" w:sz="0" w:space="0" w:color="auto"/>
        <w:right w:val="none" w:sz="0" w:space="0" w:color="auto"/>
      </w:divBdr>
    </w:div>
    <w:div w:id="658386307">
      <w:bodyDiv w:val="1"/>
      <w:marLeft w:val="0"/>
      <w:marRight w:val="0"/>
      <w:marTop w:val="0"/>
      <w:marBottom w:val="0"/>
      <w:divBdr>
        <w:top w:val="none" w:sz="0" w:space="0" w:color="auto"/>
        <w:left w:val="none" w:sz="0" w:space="0" w:color="auto"/>
        <w:bottom w:val="none" w:sz="0" w:space="0" w:color="auto"/>
        <w:right w:val="none" w:sz="0" w:space="0" w:color="auto"/>
      </w:divBdr>
    </w:div>
    <w:div w:id="970786492">
      <w:bodyDiv w:val="1"/>
      <w:marLeft w:val="0"/>
      <w:marRight w:val="0"/>
      <w:marTop w:val="0"/>
      <w:marBottom w:val="0"/>
      <w:divBdr>
        <w:top w:val="none" w:sz="0" w:space="0" w:color="auto"/>
        <w:left w:val="none" w:sz="0" w:space="0" w:color="auto"/>
        <w:bottom w:val="none" w:sz="0" w:space="0" w:color="auto"/>
        <w:right w:val="none" w:sz="0" w:space="0" w:color="auto"/>
      </w:divBdr>
    </w:div>
    <w:div w:id="1677223579">
      <w:bodyDiv w:val="1"/>
      <w:marLeft w:val="225"/>
      <w:marRight w:val="225"/>
      <w:marTop w:val="0"/>
      <w:marBottom w:val="0"/>
      <w:divBdr>
        <w:top w:val="none" w:sz="0" w:space="0" w:color="auto"/>
        <w:left w:val="none" w:sz="0" w:space="0" w:color="auto"/>
        <w:bottom w:val="none" w:sz="0" w:space="0" w:color="auto"/>
        <w:right w:val="none" w:sz="0" w:space="0" w:color="auto"/>
      </w:divBdr>
      <w:divsChild>
        <w:div w:id="2016884802">
          <w:marLeft w:val="0"/>
          <w:marRight w:val="0"/>
          <w:marTop w:val="0"/>
          <w:marBottom w:val="0"/>
          <w:divBdr>
            <w:top w:val="none" w:sz="0" w:space="0" w:color="auto"/>
            <w:left w:val="none" w:sz="0" w:space="0" w:color="auto"/>
            <w:bottom w:val="none" w:sz="0" w:space="0" w:color="auto"/>
            <w:right w:val="none" w:sz="0" w:space="0" w:color="auto"/>
          </w:divBdr>
          <w:divsChild>
            <w:div w:id="1289631918">
              <w:marLeft w:val="0"/>
              <w:marRight w:val="0"/>
              <w:marTop w:val="0"/>
              <w:marBottom w:val="0"/>
              <w:divBdr>
                <w:top w:val="none" w:sz="0" w:space="0" w:color="auto"/>
                <w:left w:val="none" w:sz="0" w:space="0" w:color="auto"/>
                <w:bottom w:val="single" w:sz="8" w:space="1" w:color="auto"/>
                <w:right w:val="none" w:sz="0" w:space="0" w:color="auto"/>
              </w:divBdr>
            </w:div>
          </w:divsChild>
        </w:div>
      </w:divsChild>
    </w:div>
    <w:div w:id="1705868500">
      <w:bodyDiv w:val="1"/>
      <w:marLeft w:val="0"/>
      <w:marRight w:val="0"/>
      <w:marTop w:val="0"/>
      <w:marBottom w:val="0"/>
      <w:divBdr>
        <w:top w:val="none" w:sz="0" w:space="0" w:color="auto"/>
        <w:left w:val="none" w:sz="0" w:space="0" w:color="auto"/>
        <w:bottom w:val="none" w:sz="0" w:space="0" w:color="auto"/>
        <w:right w:val="none" w:sz="0" w:space="0" w:color="auto"/>
      </w:divBdr>
    </w:div>
    <w:div w:id="176692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F20CFF39F4DBC42B17CE9C9019BEF2A" ma:contentTypeVersion="13" ma:contentTypeDescription="Create a new document." ma:contentTypeScope="" ma:versionID="3d3ec78f8ca6b54ed1125bfdf4eb36b4">
  <xsd:schema xmlns:xsd="http://www.w3.org/2001/XMLSchema" xmlns:xs="http://www.w3.org/2001/XMLSchema" xmlns:p="http://schemas.microsoft.com/office/2006/metadata/properties" xmlns:ns2="7d64f92b-5087-432f-bc72-197b11021e2d" xmlns:ns3="20a07c10-6e21-4686-8683-b21ded9c5c68" targetNamespace="http://schemas.microsoft.com/office/2006/metadata/properties" ma:root="true" ma:fieldsID="962d4cd83019f1f85054199072ad0e8f" ns2:_="" ns3:_="">
    <xsd:import namespace="7d64f92b-5087-432f-bc72-197b11021e2d"/>
    <xsd:import namespace="20a07c10-6e21-4686-8683-b21ded9c5c6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64f92b-5087-432f-bc72-197b11021e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a07c10-6e21-4686-8683-b21ded9c5c6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3fc64c14-8e34-4df9-8b10-6d9463d65a78}" ma:internalName="TaxCatchAll" ma:showField="CatchAllData" ma:web="20a07c10-6e21-4686-8683-b21ded9c5c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d64f92b-5087-432f-bc72-197b11021e2d">
      <Terms xmlns="http://schemas.microsoft.com/office/infopath/2007/PartnerControls"/>
    </lcf76f155ced4ddcb4097134ff3c332f>
    <TaxCatchAll xmlns="20a07c10-6e21-4686-8683-b21ded9c5c68" xsi:nil="true"/>
  </documentManagement>
</p:properties>
</file>

<file path=customXml/itemProps1.xml><?xml version="1.0" encoding="utf-8"?>
<ds:datastoreItem xmlns:ds="http://schemas.openxmlformats.org/officeDocument/2006/customXml" ds:itemID="{E1F0AD16-DC2F-4263-AAFC-43F09590FFF2}">
  <ds:schemaRefs>
    <ds:schemaRef ds:uri="http://schemas.openxmlformats.org/officeDocument/2006/bibliography"/>
  </ds:schemaRefs>
</ds:datastoreItem>
</file>

<file path=customXml/itemProps2.xml><?xml version="1.0" encoding="utf-8"?>
<ds:datastoreItem xmlns:ds="http://schemas.openxmlformats.org/officeDocument/2006/customXml" ds:itemID="{A558AA8B-B231-441D-9EBE-79C9590F89C3}"/>
</file>

<file path=customXml/itemProps3.xml><?xml version="1.0" encoding="utf-8"?>
<ds:datastoreItem xmlns:ds="http://schemas.openxmlformats.org/officeDocument/2006/customXml" ds:itemID="{5F4D3D31-49C1-4A4B-9E81-9016EC9C0533}"/>
</file>

<file path=customXml/itemProps4.xml><?xml version="1.0" encoding="utf-8"?>
<ds:datastoreItem xmlns:ds="http://schemas.openxmlformats.org/officeDocument/2006/customXml" ds:itemID="{DB0F3F33-5998-4F63-B478-EB69E12589AC}"/>
</file>

<file path=docMetadata/LabelInfo.xml><?xml version="1.0" encoding="utf-8"?>
<clbl:labelList xmlns:clbl="http://schemas.microsoft.com/office/2020/mipLabelMetadata">
  <clbl:label id="{75464948-aeeb-436c-a291-ab13687dc8ce}" enabled="1" method="Standar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22659</Words>
  <Characters>12917</Characters>
  <Application>Microsoft Office Word</Application>
  <DocSecurity>4</DocSecurity>
  <Lines>107</Lines>
  <Paragraphs>71</Paragraphs>
  <ScaleCrop>false</ScaleCrop>
  <HeadingPairs>
    <vt:vector size="2" baseType="variant">
      <vt:variant>
        <vt:lpstr>Title</vt:lpstr>
      </vt:variant>
      <vt:variant>
        <vt:i4>1</vt:i4>
      </vt:variant>
    </vt:vector>
  </HeadingPairs>
  <TitlesOfParts>
    <vt:vector size="1" baseType="lpstr">
      <vt:lpstr>DERINIMO PAŽYMA</vt:lpstr>
    </vt:vector>
  </TitlesOfParts>
  <Company>Hewlett-Packard Company</Company>
  <LinksUpToDate>false</LinksUpToDate>
  <CharactersWithSpaces>35505</CharactersWithSpaces>
  <SharedDoc>false</SharedDoc>
  <HLinks>
    <vt:vector size="6" baseType="variant">
      <vt:variant>
        <vt:i4>2687008</vt:i4>
      </vt:variant>
      <vt:variant>
        <vt:i4>0</vt:i4>
      </vt:variant>
      <vt:variant>
        <vt:i4>0</vt:i4>
      </vt:variant>
      <vt:variant>
        <vt:i4>5</vt:i4>
      </vt:variant>
      <vt:variant>
        <vt:lpwstr>https://www.timeanddate.com/time/zones/eest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DERINIMO PAŽYMA</dc:title>
  <dc:subject/>
  <dc:creator>Aldona Mikalkenaite</dc:creator>
  <cp:keywords/>
  <cp:lastModifiedBy>Laima Kavalskienė</cp:lastModifiedBy>
  <cp:revision>2</cp:revision>
  <cp:lastPrinted>2012-02-10T11:20:00Z</cp:lastPrinted>
  <dcterms:created xsi:type="dcterms:W3CDTF">2025-03-07T07:04:00Z</dcterms:created>
  <dcterms:modified xsi:type="dcterms:W3CDTF">2025-03-07T07:04:00Z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2021-06-28T13:26:29Z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6da04cc8-5e71-4646-bd06-d04522b989ee</vt:lpwstr>
  </property>
  <property fmtid="{D5CDD505-2E9C-101B-9397-08002B2CF9AE}" pid="8" name="MSIP_Label_75464948-aeeb-436c-a291-ab13687dc8ce_ContentBits">
    <vt:lpwstr>0</vt:lpwstr>
  </property>
  <property fmtid="{D5CDD505-2E9C-101B-9397-08002B2CF9AE}" pid="9" name="ContentTypeId">
    <vt:lpwstr>0x010100BF20CFF39F4DBC42B17CE9C9019BEF2A</vt:lpwstr>
  </property>
</Properties>
</file>